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C3E50"/>
          <w:spacing w:val="80"/>
          <w:sz w:val="16"/>
          <w:szCs w:val="16"/>
        </w:rPr>
        <w:t xml:space="preserve">LEADERSHIP FOUNDATION — MODULE 2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Team Communication Calendar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Map your daily, weekly, and monthly communication rhythm.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2C3E50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E8EC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Design your team communication rhythm. Every touchpoint should have a purpose, a format, and an owner.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Daily Touchpoints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200"/>
        <w:gridCol w:w="1000"/>
        <w:gridCol w:w="1813"/>
        <w:gridCol w:w="2813"/>
      </w:tblGrid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Touchpoint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Time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Duration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Purpose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Weekly Touchpoints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200"/>
        <w:gridCol w:w="1000"/>
        <w:gridCol w:w="1813"/>
        <w:gridCol w:w="2813"/>
      </w:tblGrid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Touchpoint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Day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Duration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Purpose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Monthly Touchpoints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200"/>
        <w:gridCol w:w="1000"/>
        <w:gridCol w:w="1813"/>
        <w:gridCol w:w="2813"/>
      </w:tblGrid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Touchpoint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When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Duration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Purpose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Briefing Template</w:t>
      </w:r>
    </w:p>
    <w:p>
      <w:pPr>
        <w:spacing w:after="14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Use this structure for your daily morning briefing: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21"/>
          <w:szCs w:val="21"/>
        </w:rPr>
        <w:t xml:space="preserve">Today’s bookings and VIPs: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21"/>
          <w:szCs w:val="21"/>
        </w:rPr>
        <w:t xml:space="preserve">Special requirements or notes: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21"/>
          <w:szCs w:val="21"/>
        </w:rPr>
        <w:t xml:space="preserve">Yesterday’s wins (recognition):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21"/>
          <w:szCs w:val="21"/>
        </w:rPr>
        <w:t xml:space="preserve">Today’s targets: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21"/>
          <w:szCs w:val="21"/>
        </w:rPr>
        <w:t xml:space="preserve">Any issues or adjustments: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2 Template  |  </w:t>
    </w:r>
    <w:r>
      <w:rPr>
        <w:rFonts w:ascii="Arial" w:cs="Arial" w:eastAsia="Arial" w:hAnsi="Arial"/>
        <w:color w:val="B08D57"/>
        <w:sz w:val="14"/>
        <w:szCs w:val="14"/>
      </w:rPr>
      <w:t xml:space="preserve">Team Communication Calendar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C3E5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2026-03-20T15:36:55.205Z</dcterms:created>
  <dcterms:modified xsi:type="dcterms:W3CDTF">2026-03-20T15:36:55.205Z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