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C3E50"/>
          <w:spacing w:val="80"/>
          <w:sz w:val="16"/>
          <w:szCs w:val="16"/>
        </w:rPr>
        <w:t xml:space="preserve">LEADERSHIP FOUNDATION — MODULE 3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Emotional Trigger Analysis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Identify your triggers and build management strategies.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2C3E50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E8EC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Self-awareness is the starting point. Identify what triggers you, how you react, and what you’ll do differently.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My Top 3 Triggers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TRIGGER 1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How I typically react: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How I want to respond instead: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My strategy to create space between trigger and response: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TRIGGER 2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How I typically react: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How I want to respond instead: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My strategy to create space between trigger and response: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TRIGGER 3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How I typically react: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How I want to respond instead: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My strategy to create space between trigger and response: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DESC Conversation Planner</w:t>
      </w:r>
    </w:p>
    <w:p>
      <w:pPr>
        <w:spacing w:after="14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Use this for a current conflict or tension you need to address: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DESCRIBE (THE SITUATION, FACTUALLY)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EXPRESS (HOW IT AFFECTS THE TEAM/OPERATION)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SPECIFY (WHAT NEEDS TO CHANGE)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CONSEQUENCES (POSITIVE IF CHANGED, ESCALATION IF NOT)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3 Template  |  </w:t>
    </w:r>
    <w:r>
      <w:rPr>
        <w:rFonts w:ascii="Arial" w:cs="Arial" w:eastAsia="Arial" w:hAnsi="Arial"/>
        <w:color w:val="B08D57"/>
        <w:sz w:val="14"/>
        <w:szCs w:val="14"/>
      </w:rPr>
      <w:t xml:space="preserve">Emotional Trigger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C3E5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2026-03-20T15:36:55.287Z</dcterms:created>
  <dcterms:modified xsi:type="dcterms:W3CDTF">2026-03-20T15:36:55.287Z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