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7C3A2E"/>
          <w:spacing w:val="80"/>
          <w:sz w:val="16"/>
          <w:szCs w:val="16"/>
        </w:rPr>
        <w:t xml:space="preserve">FINANCIAL &amp; COMMERCIAL MASTERY — MODULE 10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Retail Training Programme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Train your team to prescribe homecare, not sell products.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F0E8E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Design a training programme that builds product knowledge and prescriptive confidence.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Product Knowledge Sessions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2200"/>
        <w:gridCol w:w="2200"/>
        <w:gridCol w:w="1613"/>
        <w:gridCol w:w="1813"/>
      </w:tblGrid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Session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Products Covered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Linked Treatments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Trainer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1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6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18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Prescription Scripts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Link your top three treatments to specific homecare recommendations: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TREATMENT 1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Recommended products: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color w:val="2C2C2C"/>
          <w:sz w:val="19"/>
          <w:szCs w:val="19"/>
        </w:rPr>
        <w:t xml:space="preserve">Script: “Based on what I’ve seen during your treatment today...”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8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TREATMENT 2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Recommended products: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color w:val="2C2C2C"/>
          <w:sz w:val="19"/>
          <w:szCs w:val="19"/>
        </w:rPr>
        <w:t xml:space="preserve">Script: “Based on what I’ve seen during your treatment today...”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8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TREATMENT 3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b/>
          <w:bCs/>
          <w:color w:val="2C2C2C"/>
          <w:sz w:val="19"/>
          <w:szCs w:val="19"/>
        </w:rPr>
        <w:t xml:space="preserve">Recommended products: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40"/>
      </w:pPr>
      <w:r>
        <w:rPr>
          <w:rFonts w:ascii="Arial" w:cs="Arial" w:eastAsia="Arial" w:hAnsi="Arial"/>
          <w:color w:val="2C2C2C"/>
          <w:sz w:val="19"/>
          <w:szCs w:val="19"/>
        </w:rPr>
        <w:t xml:space="preserve">Script: “Based on what I’ve seen during your treatment today...”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8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7C3A2E"/>
          <w:sz w:val="26"/>
          <w:szCs w:val="26"/>
        </w:rPr>
        <w:t xml:space="preserve">Retail Targets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075"/>
        <w:gridCol w:w="2076"/>
        <w:gridCol w:w="2075"/>
      </w:tblGrid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Metric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Current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30-Day Target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90-Day Target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Retail ratio (%)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Average retail per guest (£)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8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Products per transaction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75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10 Template  |  </w:t>
    </w:r>
    <w:r>
      <w:rPr>
        <w:rFonts w:ascii="Arial" w:cs="Arial" w:eastAsia="Arial" w:hAnsi="Arial"/>
        <w:color w:val="B08D57"/>
        <w:sz w:val="14"/>
        <w:szCs w:val="14"/>
      </w:rPr>
      <w:t xml:space="preserve">Retail Training Programme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7C3A2E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2026-03-20T15:36:55.784Z</dcterms:created>
  <dcterms:modified xsi:type="dcterms:W3CDTF">2026-03-20T15:36:55.784Z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