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7C3A2E"/>
          <w:spacing w:val="80"/>
          <w:sz w:val="16"/>
          <w:szCs w:val="16"/>
        </w:rPr>
        <w:t xml:space="preserve">FINANCIAL &amp; COMMERCIAL MASTERY — MODULE 11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Menu Audit Checklist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Assess your current treatment menu against best-practice design principles.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26"/>
        <w:gridCol w:w="640"/>
        <w:gridCol w:w="640"/>
        <w:gridCol w:w="640"/>
        <w:gridCol w:w="640"/>
        <w:gridCol w:w="640"/>
      </w:tblGrid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Criteria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1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2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3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4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5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Total treatments: between 20-25 (not overwhelming)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Clear categories that guide guest choice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Descriptions sell outcomes, not processes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High-margin treatments in prime visual positions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Three-tier pricing structure in key categories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Signature treatments prominently featured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Photography is professional and current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Layout is clean and easy to navigate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Seasonal/limited-edition section included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Pricing feels confident and premium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</w:tbl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TOP 3 CHANGES TO IMPROVE THE MENU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11 Template  |  </w:t>
    </w:r>
    <w:r>
      <w:rPr>
        <w:rFonts w:ascii="Arial" w:cs="Arial" w:eastAsia="Arial" w:hAnsi="Arial"/>
        <w:color w:val="B08D57"/>
        <w:sz w:val="14"/>
        <w:szCs w:val="14"/>
      </w:rPr>
      <w:t xml:space="preserve">Menu Audit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7C3A2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2026-03-20T15:36:55.805Z</dcterms:created>
  <dcterms:modified xsi:type="dcterms:W3CDTF">2026-03-20T15:36:55.805Z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