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E5148"/>
          <w:spacing w:val="80"/>
          <w:sz w:val="16"/>
          <w:szCs w:val="16"/>
        </w:rPr>
        <w:t xml:space="preserve">OPERATIONS &amp; DELIVERY — MODULE 18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Therapist Wellbeing Policy Template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Protect your team’s physical and mental health.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Physical Wellbeing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13"/>
        <w:gridCol w:w="1513"/>
      </w:tblGrid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Standard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Practice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Improvement Needed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Mental Wellbeing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2513"/>
        <w:gridCol w:w="1513"/>
      </w:tblGrid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Standard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 Practice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Improvement Needed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Owner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E5148"/>
          <w:sz w:val="26"/>
          <w:szCs w:val="26"/>
        </w:rPr>
        <w:t xml:space="preserve">Working Conditions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MAXIMUM TREATMENTS PER DAY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MANDATORY BREAK BETWEEN TREATMENTS (MINUTES)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WELLBEING CHECK-IN FREQUENCY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ERGONOMIC TRAINING SCHEDULE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18 Template  |  </w:t>
    </w:r>
    <w:r>
      <w:rPr>
        <w:rFonts w:ascii="Arial" w:cs="Arial" w:eastAsia="Arial" w:hAnsi="Arial"/>
        <w:color w:val="B08D57"/>
        <w:sz w:val="14"/>
        <w:szCs w:val="14"/>
      </w:rPr>
      <w:t xml:space="preserve">Therapist Wellbeing Policy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E5148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2026-03-20T15:36:56.197Z</dcterms:created>
  <dcterms:modified xsi:type="dcterms:W3CDTF">2026-03-20T15:36:56.197Z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