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0"/>
      </w:pPr>
    </w:p>
    <w:p>
      <w:pPr>
        <w:spacing w:after="80"/>
        <w:jc w:val="left"/>
      </w:pPr>
      <w:r>
        <w:rPr>
          <w:rFonts w:ascii="Arial" w:cs="Arial" w:eastAsia="Arial" w:hAnsi="Arial"/>
          <w:b/>
          <w:bCs/>
          <w:color w:val="2C3E50"/>
          <w:spacing w:val="120"/>
          <w:sz w:val="18"/>
          <w:szCs w:val="18"/>
        </w:rPr>
        <w:t xml:space="preserve">LEADERSHIP FOUNDATION</w:t>
      </w:r>
    </w:p>
    <w:p>
      <w:pPr>
        <w:spacing w:after="40"/>
        <w:jc w:val="left"/>
      </w:pPr>
      <w:r>
        <w:rPr>
          <w:rFonts w:ascii="Arial" w:cs="Arial" w:eastAsia="Arial" w:hAnsi="Arial"/>
          <w:color w:val="B08D57"/>
          <w:spacing w:val="80"/>
          <w:sz w:val="20"/>
          <w:szCs w:val="20"/>
        </w:rPr>
        <w:t xml:space="preserve">MODULE 2</w:t>
      </w:r>
    </w:p>
    <w:p>
      <w:pPr>
        <w:spacing w:after="200"/>
      </w:pPr>
    </w:p>
    <w:p>
      <w:pPr>
        <w:pBdr>
          <w:bottom w:val="single" w:color="B08D57" w:sz="6" w:space="8"/>
        </w:pBdr>
        <w:spacing w:after="200"/>
        <w:jc w:val="left"/>
      </w:pPr>
      <w:r>
        <w:rPr>
          <w:rFonts w:ascii="Georgia" w:cs="Georgia" w:eastAsia="Georgia" w:hAnsi="Georgia"/>
          <w:b/>
          <w:bCs/>
          <w:color w:val="1A2332"/>
          <w:sz w:val="52"/>
          <w:szCs w:val="52"/>
        </w:rPr>
        <w:t xml:space="preserve">Building &amp; Leading High-Performing Teams</w:t>
      </w:r>
    </w:p>
    <w:p>
      <w:pPr>
        <w:spacing w:after="100"/>
      </w:pPr>
    </w:p>
    <w:p>
      <w:pPr>
        <w:spacing w:after="200"/>
        <w:jc w:val="left"/>
      </w:pPr>
      <w:r>
        <w:rPr>
          <w:rFonts w:ascii="Georgia" w:cs="Georgia" w:eastAsia="Georgia" w:hAnsi="Georgia"/>
          <w:color w:val="6B7280"/>
          <w:sz w:val="24"/>
          <w:szCs w:val="24"/>
        </w:rPr>
        <w:t xml:space="preserve">A spa is only as good as the team that delivers it.</w:t>
      </w:r>
    </w:p>
    <w:p>
      <w:pPr>
        <w:spacing w:after="1800"/>
      </w:pPr>
    </w:p>
    <w:p>
      <w:pPr>
        <w:pBdr>
          <w:top w:val="single" w:color="B08D57" w:sz="2" w:space="8"/>
        </w:pBdr>
        <w:spacing w:after="60"/>
        <w:jc w:val="left"/>
      </w:pPr>
      <w:r>
        <w:rPr>
          <w:rFonts w:ascii="Arial" w:cs="Arial" w:eastAsia="Arial" w:hAnsi="Arial"/>
          <w:color w:val="B08D57"/>
          <w:spacing w:val="100"/>
          <w:sz w:val="16"/>
          <w:szCs w:val="16"/>
        </w:rPr>
        <w:t xml:space="preserve">COMMERCIAL LEADERSHIP PROGRAMME</w:t>
      </w:r>
    </w:p>
    <w:p>
      <w:pPr>
        <w:jc w:val="left"/>
      </w:pPr>
      <w:r>
        <w:rPr>
          <w:rFonts w:ascii="Arial" w:cs="Arial" w:eastAsia="Arial" w:hAnsi="Arial"/>
          <w:color w:val="6B7280"/>
          <w:sz w:val="18"/>
          <w:szCs w:val="18"/>
        </w:rPr>
        <w:t xml:space="preserve">Spa Director &amp; Spa Manager Development</w:t>
      </w:r>
    </w:p>
    <w:p>
      <w:r>
        <w:br w:type="page"/>
      </w:r>
    </w:p>
    <w:p>
      <w:pPr>
        <w:sectPr>
          <w:pgSz w:w="11906" w:h="16838" w:orient="portrait"/>
          <w:pgMar w:top="1440" w:right="1440" w:bottom="1440" w:left="1440" w:header="708" w:footer="708" w:gutter="0"/>
          <w:pgNumType/>
          <w:docGrid w:linePitch="360"/>
        </w:sectPr>
      </w:pPr>
    </w:p>
    <w:p>
      <w:pPr>
        <w:pStyle w:val="Heading1"/>
        <w:spacing w:after="120" w:before="360"/>
      </w:pPr>
      <w:r>
        <w:rPr>
          <w:rFonts w:ascii="Georgia" w:cs="Georgia" w:eastAsia="Georgia" w:hAnsi="Georgia"/>
          <w:b/>
          <w:bCs/>
          <w:color w:val="1A2332"/>
          <w:sz w:val="36"/>
          <w:szCs w:val="36"/>
        </w:rPr>
        <w:t xml:space="preserve">Module Overview</w:t>
      </w:r>
    </w:p>
    <w:p>
      <w:pPr>
        <w:spacing w:after="160"/>
      </w:pPr>
      <w:r>
        <w:rPr>
          <w:rFonts w:ascii="Arial" w:cs="Arial" w:eastAsia="Arial" w:hAnsi="Arial"/>
          <w:color w:val="6B7280"/>
          <w:sz w:val="24"/>
          <w:szCs w:val="24"/>
        </w:rPr>
        <w:t xml:space="preserve">A spa is only as good as the team that delivers it.</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tcBorders>
              <w:top w:val="none" w:sz="0"/>
              <w:left w:val="none" w:sz="0"/>
              <w:bottom w:val="none" w:sz="0"/>
              <w:right w:val="none" w:sz="0"/>
            </w:tcBorders>
            <w:shd w:fill="2C3E50" w:val="clear"/>
            <w:tcMar>
              <w:top w:type="dxa" w:w="80"/>
              <w:left w:type="dxa" w:w="120"/>
              <w:bottom w:type="dxa" w:w="80"/>
              <w:right w:type="dxa" w:w="120"/>
            </w:tcMar>
          </w:tcPr>
          <w:p>
            <w:r>
              <w:rPr>
                <w:rFonts w:ascii="Arial" w:cs="Arial" w:eastAsia="Arial" w:hAnsi="Arial"/>
                <w:b/>
                <w:bCs/>
                <w:color w:val="FFFFFF"/>
                <w:sz w:val="16"/>
                <w:szCs w:val="16"/>
              </w:rPr>
              <w:t xml:space="preserve">LESSON</w:t>
            </w:r>
          </w:p>
        </w:tc>
        <w:tc>
          <w:tcPr>
            <w:tcW w:type="dxa" w:w="7526"/>
            <w:tcBorders>
              <w:top w:val="none" w:sz="0"/>
              <w:left w:val="none" w:sz="0"/>
              <w:bottom w:val="none" w:sz="0"/>
              <w:right w:val="none" w:sz="0"/>
            </w:tcBorders>
            <w:shd w:fill="2C3E50" w:val="clear"/>
            <w:tcMar>
              <w:top w:type="dxa" w:w="80"/>
              <w:left w:type="dxa" w:w="120"/>
              <w:bottom w:type="dxa" w:w="80"/>
              <w:right w:type="dxa" w:w="120"/>
            </w:tcMar>
          </w:tcPr>
          <w:p>
            <w:r>
              <w:rPr>
                <w:rFonts w:ascii="Arial" w:cs="Arial" w:eastAsia="Arial" w:hAnsi="Arial"/>
                <w:b/>
                <w:bCs/>
                <w:color w:val="FFFFFF"/>
                <w:sz w:val="16"/>
                <w:szCs w:val="16"/>
              </w:rPr>
              <w:t xml:space="preserve">TOPIC</w:t>
            </w:r>
          </w:p>
        </w:tc>
      </w:tr>
      <w:tr>
        <w:tc>
          <w:tcPr>
            <w:tcW w:type="dxa" w:w="1500"/>
            <w:tcBorders>
              <w:top w:val="single" w:color="D5D5D5" w:sz="1"/>
              <w:left w:val="single" w:color="D5D5D5" w:sz="1"/>
              <w:bottom w:val="single" w:color="D5D5D5" w:sz="1"/>
              <w:right w:val="single" w:color="D5D5D5" w:sz="1"/>
            </w:tcBorders>
            <w:shd w:fill="E8ECF0" w:val="clear"/>
            <w:tcMar>
              <w:top w:type="dxa" w:w="80"/>
              <w:left w:type="dxa" w:w="120"/>
              <w:bottom w:type="dxa" w:w="80"/>
              <w:right w:type="dxa" w:w="120"/>
            </w:tcMar>
          </w:tcPr>
          <w:p>
            <w:r>
              <w:rPr>
                <w:rFonts w:ascii="Arial" w:cs="Arial" w:eastAsia="Arial" w:hAnsi="Arial"/>
                <w:b/>
                <w:bCs/>
                <w:color w:val="2C3E50"/>
                <w:sz w:val="20"/>
                <w:szCs w:val="20"/>
              </w:rPr>
              <w:t xml:space="preserve">Lesson 1</w:t>
            </w:r>
          </w:p>
        </w:tc>
        <w:tc>
          <w:tcPr>
            <w:tcW w:type="dxa" w:w="7526"/>
            <w:tcBorders>
              <w:top w:val="single" w:color="D5D5D5" w:sz="1"/>
              <w:left w:val="single" w:color="D5D5D5" w:sz="1"/>
              <w:bottom w:val="single" w:color="D5D5D5" w:sz="1"/>
              <w:right w:val="single" w:color="D5D5D5" w:sz="1"/>
            </w:tcBorders>
            <w:shd w:fill="E8ECF0" w:val="clear"/>
            <w:tcMar>
              <w:top w:type="dxa" w:w="80"/>
              <w:left w:type="dxa" w:w="120"/>
              <w:bottom w:type="dxa" w:w="80"/>
              <w:right w:type="dxa" w:w="120"/>
            </w:tcMar>
          </w:tcPr>
          <w:p>
            <w:r>
              <w:rPr>
                <w:rFonts w:ascii="Arial" w:cs="Arial" w:eastAsia="Arial" w:hAnsi="Arial"/>
                <w:color w:val="2C2C2C"/>
                <w:sz w:val="20"/>
                <w:szCs w:val="20"/>
              </w:rPr>
              <w:t xml:space="preserve">Team Dynamics &amp; Culture</w:t>
            </w:r>
          </w:p>
        </w:tc>
      </w:tr>
      <w:tr>
        <w:tc>
          <w:tcPr>
            <w:tcW w:type="dxa" w:w="1500"/>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b/>
                <w:bCs/>
                <w:color w:val="2C3E50"/>
                <w:sz w:val="20"/>
                <w:szCs w:val="20"/>
              </w:rPr>
              <w:t xml:space="preserve">Lesson 2</w:t>
            </w:r>
          </w:p>
        </w:tc>
        <w:tc>
          <w:tcPr>
            <w:tcW w:type="dxa" w:w="7526"/>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color w:val="2C2C2C"/>
                <w:sz w:val="20"/>
                <w:szCs w:val="20"/>
              </w:rPr>
              <w:t xml:space="preserve">Communication That Drives Performance</w:t>
            </w:r>
          </w:p>
        </w:tc>
      </w:tr>
    </w:tbl>
    <w:p>
      <w:pPr>
        <w:spacing w:after="200"/>
      </w:pPr>
    </w:p>
    <w:p>
      <w:r>
        <w:br w:type="page"/>
      </w:r>
    </w:p>
    <w:p>
      <w:pPr>
        <w:pStyle w:val="Heading1"/>
        <w:spacing w:after="120" w:before="360"/>
      </w:pPr>
      <w:r>
        <w:rPr>
          <w:rFonts w:ascii="Georgia" w:cs="Georgia" w:eastAsia="Georgia" w:hAnsi="Georgia"/>
          <w:b/>
          <w:bCs/>
          <w:color w:val="2C3E50"/>
          <w:sz w:val="36"/>
          <w:szCs w:val="36"/>
        </w:rPr>
        <w:t xml:space="preserve">Lesson 1: Team Dynamics &amp; Culture</w:t>
      </w:r>
    </w:p>
    <w:p>
      <w:pPr>
        <w:spacing w:after="160"/>
      </w:pPr>
      <w:r>
        <w:rPr>
          <w:rFonts w:ascii="Arial" w:cs="Arial" w:eastAsia="Arial" w:hAnsi="Arial"/>
          <w:color w:val="2C2C2C"/>
          <w:sz w:val="22"/>
          <w:szCs w:val="22"/>
        </w:rPr>
        <w:t xml:space="preserve">High-performing spa teams share five hallmarks: trust, clarity, accountability, energy, and pride. Trust means therapists feel safe admitting mistakes without fear. Clarity means everyone knows what's expected — today, this week, this month. Accountability means the team self-corrects before management needs to intervene. Energy means people arrive wanting to be there. Pride means the work matters to them personally.</w:t>
      </w:r>
    </w:p>
    <w:p>
      <w:pPr>
        <w:spacing w:after="160"/>
      </w:pPr>
      <w:r>
        <w:rPr>
          <w:rFonts w:ascii="Arial" w:cs="Arial" w:eastAsia="Arial" w:hAnsi="Arial"/>
          <w:color w:val="2C2C2C"/>
          <w:sz w:val="22"/>
          <w:szCs w:val="22"/>
        </w:rPr>
        <w:t xml:space="preserve">Psychological safety is the foundation. If your team is afraid to speak up, you'll never hear about problems until they become crises. Create an environment where questions are welcomed, ideas are heard, and mistakes are treated as learning opportunities rather than failures.</w:t>
      </w:r>
    </w:p>
    <w:p>
      <w:pPr>
        <w:spacing w:after="80"/>
      </w:pPr>
    </w:p>
    <w:p>
      <w:pPr>
        <w:shd w:fill="E8ECF0" w:val="clear"/>
        <w:spacing w:after="80" w:before="120"/>
        <w:ind w:left="120" w:right="120"/>
      </w:pPr>
      <w:r>
        <w:rPr>
          <w:rFonts w:ascii="Arial" w:cs="Arial" w:eastAsia="Arial" w:hAnsi="Arial"/>
          <w:b/>
          <w:bCs/>
          <w:color w:val="2C3E50"/>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Build trust and psychological safety as the foundation</w:t>
      </w:r>
    </w:p>
    <w:p>
      <w:pPr>
        <w:pStyle w:val="ListParagraph"/>
        <w:numPr>
          <w:ilvl w:val="0"/>
          <w:numId w:val="2"/>
        </w:numPr>
        <w:spacing w:after="80"/>
      </w:pPr>
      <w:r>
        <w:rPr>
          <w:rFonts w:ascii="Arial" w:cs="Arial" w:eastAsia="Arial" w:hAnsi="Arial"/>
          <w:color w:val="2C2C2C"/>
          <w:sz w:val="21"/>
          <w:szCs w:val="21"/>
        </w:rPr>
        <w:t xml:space="preserve">Create clarity through consistent expectations</w:t>
      </w:r>
    </w:p>
    <w:p>
      <w:pPr>
        <w:pStyle w:val="ListParagraph"/>
        <w:numPr>
          <w:ilvl w:val="0"/>
          <w:numId w:val="2"/>
        </w:numPr>
        <w:spacing w:after="80"/>
      </w:pPr>
      <w:r>
        <w:rPr>
          <w:rFonts w:ascii="Arial" w:cs="Arial" w:eastAsia="Arial" w:hAnsi="Arial"/>
          <w:color w:val="2C2C2C"/>
          <w:sz w:val="21"/>
          <w:szCs w:val="21"/>
        </w:rPr>
        <w:t xml:space="preserve">Develop accountability that runs peer-to-peer, not just top-down</w:t>
      </w:r>
    </w:p>
    <w:p>
      <w:pPr>
        <w:pStyle w:val="ListParagraph"/>
        <w:numPr>
          <w:ilvl w:val="0"/>
          <w:numId w:val="2"/>
        </w:numPr>
        <w:spacing w:after="80"/>
      </w:pPr>
      <w:r>
        <w:rPr>
          <w:rFonts w:ascii="Arial" w:cs="Arial" w:eastAsia="Arial" w:hAnsi="Arial"/>
          <w:color w:val="2C2C2C"/>
          <w:sz w:val="21"/>
          <w:szCs w:val="21"/>
        </w:rPr>
        <w:t xml:space="preserve">Nurture energy and pride through recognition and purpose</w:t>
      </w:r>
    </w:p>
    <w:p>
      <w:r>
        <w:br w:type="page"/>
      </w:r>
    </w:p>
    <w:p>
      <w:pPr>
        <w:pStyle w:val="Heading1"/>
        <w:spacing w:after="120" w:before="360"/>
      </w:pPr>
      <w:r>
        <w:rPr>
          <w:rFonts w:ascii="Georgia" w:cs="Georgia" w:eastAsia="Georgia" w:hAnsi="Georgia"/>
          <w:b/>
          <w:bCs/>
          <w:color w:val="2C3E50"/>
          <w:sz w:val="36"/>
          <w:szCs w:val="36"/>
        </w:rPr>
        <w:t xml:space="preserve">Lesson 2: Communication That Drives Performance</w:t>
      </w:r>
    </w:p>
    <w:p>
      <w:pPr>
        <w:spacing w:after="160"/>
      </w:pPr>
      <w:r>
        <w:rPr>
          <w:rFonts w:ascii="Arial" w:cs="Arial" w:eastAsia="Arial" w:hAnsi="Arial"/>
          <w:color w:val="2C2C2C"/>
          <w:sz w:val="22"/>
          <w:szCs w:val="22"/>
        </w:rPr>
        <w:t xml:space="preserve">Daily briefings are your most underrated tool. Ten minutes every morning: today's bookings, VIPs, special requirements, targets, and one piece of recognition. Keep it standing, keep it focused, keep it energising. This isn't an email — it's a team moment.</w:t>
      </w:r>
    </w:p>
    <w:p>
      <w:pPr>
        <w:spacing w:after="160"/>
      </w:pPr>
      <w:r>
        <w:rPr>
          <w:rFonts w:ascii="Arial" w:cs="Arial" w:eastAsia="Arial" w:hAnsi="Arial"/>
          <w:color w:val="2C2C2C"/>
          <w:sz w:val="22"/>
          <w:szCs w:val="22"/>
        </w:rPr>
        <w:t xml:space="preserve">One-to-one conversations build the relationship infrastructure that holds your team together. Monthly minimum. Not a tick-box — a genuine conversation about how they're doing, what they need, and where they want to develop.</w:t>
      </w:r>
    </w:p>
    <w:p>
      <w:pPr>
        <w:spacing w:after="160"/>
      </w:pPr>
      <w:r>
        <w:rPr>
          <w:rFonts w:ascii="Arial" w:cs="Arial" w:eastAsia="Arial" w:hAnsi="Arial"/>
          <w:color w:val="2C2C2C"/>
          <w:sz w:val="22"/>
          <w:szCs w:val="22"/>
        </w:rPr>
        <w:t xml:space="preserve">Feedback is a skill most managers never master. The SBI model (Situation, Behaviour, Impact) gives you a framework: 'During the 10am check-in today [Situation], you interrupted Sarah twice [Behaviour], which made her reluctant to contribute [Impact].' Specific. Observable. Actionable.</w:t>
      </w:r>
    </w:p>
    <w:p>
      <w:pPr>
        <w:spacing w:after="80"/>
      </w:pPr>
    </w:p>
    <w:p>
      <w:pPr>
        <w:shd w:fill="E8ECF0" w:val="clear"/>
        <w:spacing w:after="80" w:before="120"/>
        <w:ind w:left="120" w:right="120"/>
      </w:pPr>
      <w:r>
        <w:rPr>
          <w:rFonts w:ascii="Arial" w:cs="Arial" w:eastAsia="Arial" w:hAnsi="Arial"/>
          <w:b/>
          <w:bCs/>
          <w:color w:val="2C3E50"/>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Run daily briefings that energise rather than bore</w:t>
      </w:r>
    </w:p>
    <w:p>
      <w:pPr>
        <w:pStyle w:val="ListParagraph"/>
        <w:numPr>
          <w:ilvl w:val="0"/>
          <w:numId w:val="2"/>
        </w:numPr>
        <w:spacing w:after="80"/>
      </w:pPr>
      <w:r>
        <w:rPr>
          <w:rFonts w:ascii="Arial" w:cs="Arial" w:eastAsia="Arial" w:hAnsi="Arial"/>
          <w:color w:val="2C2C2C"/>
          <w:sz w:val="21"/>
          <w:szCs w:val="21"/>
        </w:rPr>
        <w:t xml:space="preserve">Conduct one-to-ones that build trust and accountability</w:t>
      </w:r>
    </w:p>
    <w:p>
      <w:pPr>
        <w:pStyle w:val="ListParagraph"/>
        <w:numPr>
          <w:ilvl w:val="0"/>
          <w:numId w:val="2"/>
        </w:numPr>
        <w:spacing w:after="80"/>
      </w:pPr>
      <w:r>
        <w:rPr>
          <w:rFonts w:ascii="Arial" w:cs="Arial" w:eastAsia="Arial" w:hAnsi="Arial"/>
          <w:color w:val="2C2C2C"/>
          <w:sz w:val="21"/>
          <w:szCs w:val="21"/>
        </w:rPr>
        <w:t xml:space="preserve">Apply the SBI model for feedback that people act on</w:t>
      </w:r>
    </w:p>
    <w:p>
      <w:pPr>
        <w:pStyle w:val="ListParagraph"/>
        <w:numPr>
          <w:ilvl w:val="0"/>
          <w:numId w:val="2"/>
        </w:numPr>
        <w:spacing w:after="80"/>
      </w:pPr>
      <w:r>
        <w:rPr>
          <w:rFonts w:ascii="Arial" w:cs="Arial" w:eastAsia="Arial" w:hAnsi="Arial"/>
          <w:color w:val="2C2C2C"/>
          <w:sz w:val="21"/>
          <w:szCs w:val="21"/>
        </w:rPr>
        <w:t xml:space="preserve">Navigate difficult conversations with scripts, timing, and framing</w:t>
      </w:r>
    </w:p>
    <w:p>
      <w:r>
        <w:br w:type="page"/>
      </w:r>
    </w:p>
    <w:p>
      <w:pPr>
        <w:pStyle w:val="Heading1"/>
        <w:spacing w:after="120" w:before="360"/>
      </w:pPr>
      <w:r>
        <w:rPr>
          <w:rFonts w:ascii="Georgia" w:cs="Georgia" w:eastAsia="Georgia" w:hAnsi="Georgia"/>
          <w:b/>
          <w:bCs/>
          <w:color w:val="1A2332"/>
          <w:sz w:val="36"/>
          <w:szCs w:val="36"/>
        </w:rPr>
        <w:t xml:space="preserve">Key Concept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200"/>
              <w:left w:type="dxa" w:w="240"/>
              <w:bottom w:type="dxa" w:w="200"/>
              <w:right w:type="dxa" w:w="240"/>
            </w:tcMar>
          </w:tcPr>
          <w:p>
            <w:pPr>
              <w:spacing w:after="0"/>
            </w:pPr>
            <w:r>
              <w:rPr>
                <w:rFonts w:ascii="Georgia" w:cs="Georgia" w:eastAsia="Georgia" w:hAnsi="Georgia"/>
                <w:color w:val="1A2332"/>
                <w:sz w:val="26"/>
                <w:szCs w:val="26"/>
              </w:rPr>
              <w:t xml:space="preserve">“A great team doesn't happen by accident. It's designed, developed, and deliberately nurtured every single day.”</w:t>
            </w:r>
          </w:p>
        </w:tc>
      </w:tr>
    </w:tbl>
    <w:p>
      <w:pPr>
        <w:spacing w:after="300"/>
      </w:pPr>
    </w:p>
    <w:p>
      <w:pPr>
        <w:pStyle w:val="Heading1"/>
        <w:spacing w:after="120" w:before="360"/>
      </w:pPr>
      <w:r>
        <w:rPr>
          <w:rFonts w:ascii="Georgia" w:cs="Georgia" w:eastAsia="Georgia" w:hAnsi="Georgia"/>
          <w:b/>
          <w:bCs/>
          <w:color w:val="1A2332"/>
          <w:sz w:val="36"/>
          <w:szCs w:val="36"/>
        </w:rPr>
        <w:t xml:space="preserve">Practical Exercise</w:t>
      </w:r>
    </w:p>
    <w:p>
      <w:pPr>
        <w:spacing w:after="160"/>
      </w:pPr>
      <w:r>
        <w:rPr>
          <w:rFonts w:ascii="Arial" w:cs="Arial" w:eastAsia="Arial" w:hAnsi="Arial"/>
          <w:color w:val="2C2C2C"/>
          <w:sz w:val="22"/>
          <w:szCs w:val="22"/>
        </w:rPr>
        <w:t xml:space="preserve">Design a team communication calendar covering daily briefings, weekly check-ins, and monthly one-to-ones. Include templates for each. Write three feedback scripts using the SBI model: one positive, one developmental, one corrective.</w:t>
      </w:r>
    </w:p>
    <w:p>
      <w:pPr>
        <w:spacing w:after="100"/>
      </w:pPr>
    </w:p>
    <w:p>
      <w:pPr>
        <w:spacing w:after="80"/>
      </w:pPr>
      <w:r>
        <w:rPr>
          <w:rFonts w:ascii="Arial" w:cs="Arial" w:eastAsia="Arial" w:hAnsi="Arial"/>
          <w:b/>
          <w:bCs/>
          <w:color w:val="6B7280"/>
          <w:spacing w:val="80"/>
          <w:sz w:val="18"/>
          <w:szCs w:val="18"/>
        </w:rPr>
        <w:t xml:space="preserve">YOUR NOTES</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r>
        <w:br w:type="page"/>
      </w:r>
    </w:p>
    <w:p>
      <w:pPr>
        <w:pStyle w:val="Heading1"/>
        <w:spacing w:after="120" w:before="360"/>
      </w:pPr>
      <w:r>
        <w:rPr>
          <w:rFonts w:ascii="Georgia" w:cs="Georgia" w:eastAsia="Georgia" w:hAnsi="Georgia"/>
          <w:b/>
          <w:bCs/>
          <w:color w:val="1A2332"/>
          <w:sz w:val="36"/>
          <w:szCs w:val="36"/>
        </w:rPr>
        <w:t xml:space="preserve">Learning Outcomes</w:t>
      </w:r>
    </w:p>
    <w:p>
      <w:pPr>
        <w:spacing w:after="160"/>
      </w:pPr>
      <w:r>
        <w:rPr>
          <w:rFonts w:ascii="Arial" w:cs="Arial" w:eastAsia="Arial" w:hAnsi="Arial"/>
          <w:color w:val="6B7280"/>
          <w:sz w:val="22"/>
          <w:szCs w:val="22"/>
        </w:rPr>
        <w:t xml:space="preserve">By completing this module, you will be able to:</w:t>
      </w:r>
    </w:p>
    <w:p>
      <w:pPr>
        <w:spacing w:after="60"/>
      </w:pPr>
    </w:p>
    <w:p>
      <w:pPr>
        <w:pStyle w:val="ListParagraph"/>
        <w:numPr>
          <w:ilvl w:val="0"/>
          <w:numId w:val="3"/>
        </w:numPr>
        <w:spacing w:after="120"/>
      </w:pPr>
      <w:r>
        <w:rPr>
          <w:rFonts w:ascii="Arial" w:cs="Arial" w:eastAsia="Arial" w:hAnsi="Arial"/>
          <w:color w:val="2C2C2C"/>
          <w:sz w:val="22"/>
          <w:szCs w:val="22"/>
        </w:rPr>
        <w:t xml:space="preserve">Design and implement a team communication rhythm</w:t>
      </w:r>
    </w:p>
    <w:p>
      <w:pPr>
        <w:pStyle w:val="ListParagraph"/>
        <w:numPr>
          <w:ilvl w:val="0"/>
          <w:numId w:val="3"/>
        </w:numPr>
        <w:spacing w:after="120"/>
      </w:pPr>
      <w:r>
        <w:rPr>
          <w:rFonts w:ascii="Arial" w:cs="Arial" w:eastAsia="Arial" w:hAnsi="Arial"/>
          <w:color w:val="2C2C2C"/>
          <w:sz w:val="22"/>
          <w:szCs w:val="22"/>
        </w:rPr>
        <w:t xml:space="preserve">Apply the SBI feedback model in real scenarios</w:t>
      </w:r>
    </w:p>
    <w:p>
      <w:pPr>
        <w:pStyle w:val="ListParagraph"/>
        <w:numPr>
          <w:ilvl w:val="0"/>
          <w:numId w:val="3"/>
        </w:numPr>
        <w:spacing w:after="120"/>
      </w:pPr>
      <w:r>
        <w:rPr>
          <w:rFonts w:ascii="Arial" w:cs="Arial" w:eastAsia="Arial" w:hAnsi="Arial"/>
          <w:color w:val="2C2C2C"/>
          <w:sz w:val="22"/>
          <w:szCs w:val="22"/>
        </w:rPr>
        <w:t xml:space="preserve">Build a culture of psychological safety and accountability</w:t>
      </w:r>
    </w:p>
    <w:p>
      <w:pPr>
        <w:pStyle w:val="ListParagraph"/>
        <w:numPr>
          <w:ilvl w:val="0"/>
          <w:numId w:val="3"/>
        </w:numPr>
        <w:spacing w:after="120"/>
      </w:pPr>
      <w:r>
        <w:rPr>
          <w:rFonts w:ascii="Arial" w:cs="Arial" w:eastAsia="Arial" w:hAnsi="Arial"/>
          <w:color w:val="2C2C2C"/>
          <w:sz w:val="22"/>
          <w:szCs w:val="22"/>
        </w:rPr>
        <w:t xml:space="preserve">Conduct effective one-to-one development conversations</w:t>
      </w:r>
    </w:p>
    <w:p>
      <w:pPr>
        <w:spacing w:after="200"/>
      </w:pPr>
    </w:p>
    <w:p>
      <w:pPr>
        <w:spacing w:after="80"/>
      </w:pPr>
      <w:r>
        <w:rPr>
          <w:rFonts w:ascii="Arial" w:cs="Arial" w:eastAsia="Arial" w:hAnsi="Arial"/>
          <w:b/>
          <w:bCs/>
          <w:color w:val="2C3E50"/>
          <w:spacing w:val="80"/>
          <w:sz w:val="18"/>
          <w:szCs w:val="18"/>
        </w:rPr>
        <w:t xml:space="preserve">SELF-ASSESSMENT</w:t>
      </w:r>
    </w:p>
    <w:p>
      <w:pPr>
        <w:spacing w:after="160"/>
      </w:pPr>
      <w:r>
        <w:rPr>
          <w:rFonts w:ascii="Arial" w:cs="Arial" w:eastAsia="Arial" w:hAnsi="Arial"/>
          <w:color w:val="6B7280"/>
          <w:sz w:val="20"/>
          <w:szCs w:val="20"/>
        </w:rPr>
        <w:t xml:space="preserve">Rate your confidence in each outcome (1 = Not yet confident, 5 = Fully confident):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826"/>
        <w:gridCol w:w="640"/>
        <w:gridCol w:w="640"/>
        <w:gridCol w:w="640"/>
        <w:gridCol w:w="640"/>
        <w:gridCol w:w="640"/>
      </w:tblGrid>
      <w:tr>
        <w:tc>
          <w:tcPr>
            <w:tcW w:type="dxa" w:w="5826"/>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Outcome</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1</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2</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3</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4</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5</w:t>
            </w:r>
          </w:p>
        </w:tc>
      </w:tr>
      <w:tr>
        <w:tc>
          <w:tcPr>
            <w:tcW w:type="dxa" w:w="5826"/>
            <w:tcBorders>
              <w:top w:val="single" w:color="D5D5D5" w:sz="1"/>
              <w:left w:val="single" w:color="D5D5D5" w:sz="1"/>
              <w:bottom w:val="single" w:color="D5D5D5" w:sz="1"/>
              <w:right w:val="single" w:color="D5D5D5" w:sz="1"/>
            </w:tcBorders>
            <w:shd w:fill="E8ECF0" w:val="clear"/>
            <w:tcMar>
              <w:top w:type="dxa" w:w="60"/>
              <w:left w:type="dxa" w:w="120"/>
              <w:bottom w:type="dxa" w:w="60"/>
              <w:right w:type="dxa" w:w="120"/>
            </w:tcMar>
          </w:tcPr>
          <w:p>
            <w:r>
              <w:rPr>
                <w:rFonts w:ascii="Arial" w:cs="Arial" w:eastAsia="Arial" w:hAnsi="Arial"/>
                <w:color w:val="2C2C2C"/>
                <w:sz w:val="18"/>
                <w:szCs w:val="18"/>
              </w:rPr>
              <w:t xml:space="preserve">Design and implement a team communication rhythm</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Apply the SBI feedback model in real scenarios</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E8ECF0" w:val="clear"/>
            <w:tcMar>
              <w:top w:type="dxa" w:w="60"/>
              <w:left w:type="dxa" w:w="120"/>
              <w:bottom w:type="dxa" w:w="60"/>
              <w:right w:type="dxa" w:w="120"/>
            </w:tcMar>
          </w:tcPr>
          <w:p>
            <w:r>
              <w:rPr>
                <w:rFonts w:ascii="Arial" w:cs="Arial" w:eastAsia="Arial" w:hAnsi="Arial"/>
                <w:color w:val="2C2C2C"/>
                <w:sz w:val="18"/>
                <w:szCs w:val="18"/>
              </w:rPr>
              <w:t xml:space="preserve">Build a culture of psychological safety and accountability</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Conduct effective one-to-one development conversations</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bl>
    <w:p>
      <w:r>
        <w:br w:type="page"/>
      </w:r>
    </w:p>
    <w:p>
      <w:pPr>
        <w:pStyle w:val="Heading1"/>
        <w:spacing w:after="120" w:before="360"/>
      </w:pPr>
      <w:r>
        <w:rPr>
          <w:rFonts w:ascii="Georgia" w:cs="Georgia" w:eastAsia="Georgia" w:hAnsi="Georgia"/>
          <w:b/>
          <w:bCs/>
          <w:color w:val="1A2332"/>
          <w:sz w:val="36"/>
          <w:szCs w:val="36"/>
        </w:rPr>
        <w:t xml:space="preserve">Assessment</w:t>
      </w:r>
    </w:p>
    <w:p>
      <w:pPr>
        <w:spacing w:after="160"/>
      </w:pPr>
      <w:r>
        <w:rPr>
          <w:rFonts w:ascii="Arial" w:cs="Arial" w:eastAsia="Arial" w:hAnsi="Arial"/>
          <w:color w:val="6B7280"/>
          <w:sz w:val="22"/>
          <w:szCs w:val="22"/>
        </w:rPr>
        <w:t xml:space="preserve">Complete the following submissions to demonstrate your learning:</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2C3E50"/>
                <w:sz w:val="24"/>
                <w:szCs w:val="24"/>
              </w:rPr>
              <w:t xml:space="preserve">Submission 1: Team Communication Calendar</w:t>
            </w:r>
          </w:p>
          <w:p>
            <w:r>
              <w:rPr>
                <w:rFonts w:ascii="Arial" w:cs="Arial" w:eastAsia="Arial" w:hAnsi="Arial"/>
                <w:color w:val="2C2C2C"/>
                <w:sz w:val="20"/>
                <w:szCs w:val="20"/>
              </w:rPr>
              <w:t xml:space="preserve">Fully mapped rhythm with templates for each touchpoint.</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2C3E50"/>
                <w:sz w:val="24"/>
                <w:szCs w:val="24"/>
              </w:rPr>
              <w:t xml:space="preserve">Submission 2: Feedback Scripts</w:t>
            </w:r>
          </w:p>
          <w:p>
            <w:r>
              <w:rPr>
                <w:rFonts w:ascii="Arial" w:cs="Arial" w:eastAsia="Arial" w:hAnsi="Arial"/>
                <w:color w:val="2C2C2C"/>
                <w:sz w:val="20"/>
                <w:szCs w:val="20"/>
              </w:rPr>
              <w:t xml:space="preserve">Three SBI feedback scripts covering positive, developmental, and corrective scenarios.</w:t>
            </w:r>
          </w:p>
        </w:tc>
      </w:tr>
    </w:tbl>
    <w:p>
      <w:pPr>
        <w:spacing w:after="200"/>
      </w:pPr>
    </w:p>
    <w:p>
      <w:pPr>
        <w:spacing w:after="300"/>
      </w:pPr>
    </w:p>
    <w:p>
      <w:pPr>
        <w:pBdr>
          <w:top w:val="single" w:color="B08D57" w:sz="2" w:space="12"/>
        </w:pBdr>
        <w:spacing w:after="80"/>
      </w:pPr>
      <w:r>
        <w:rPr>
          <w:rFonts w:ascii="Arial" w:cs="Arial" w:eastAsia="Arial" w:hAnsi="Arial"/>
          <w:b/>
          <w:bCs/>
          <w:color w:val="B08D57"/>
          <w:spacing w:val="80"/>
          <w:sz w:val="18"/>
          <w:szCs w:val="18"/>
        </w:rPr>
        <w:t xml:space="preserve">MODULE COMPLETION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Name: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Date: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Assessor:</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1DC" w:sz="1" w:space="4"/>
      </w:pBdr>
      <w:jc w:val="right"/>
    </w:pPr>
    <w:r>
      <w:rPr>
        <w:rFonts w:ascii="Arial" w:cs="Arial" w:eastAsia="Arial" w:hAnsi="Arial"/>
        <w:color w:val="6B7280"/>
        <w:sz w:val="14"/>
        <w:szCs w:val="14"/>
      </w:rPr>
      <w:t xml:space="preserve">Commercial Leadership Programme  |  Page </w:t>
    </w:r>
    <w:r>
      <w:rPr>
        <w:rFonts w:ascii="Arial" w:cs="Arial" w:eastAsia="Arial" w:hAnsi="Arial"/>
        <w:color w:val="6B728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08D57" w:sz="1" w:space="4"/>
      </w:pBdr>
      <w:spacing w:after="0"/>
    </w:pPr>
    <w:r>
      <w:rPr>
        <w:rFonts w:ascii="Arial" w:cs="Arial" w:eastAsia="Arial" w:hAnsi="Arial"/>
        <w:color w:val="6B7280"/>
        <w:sz w:val="16"/>
        <w:szCs w:val="16"/>
      </w:rPr>
      <w:t xml:space="preserve">Module 2: Building &amp; Leading High-Performing Teams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1A2332"/>
      <w:sz w:val="36"/>
      <w:szCs w:val="36"/>
    </w:rPr>
  </w:style>
  <w:style w:type="paragraph" w:styleId="Heading2">
    <w:name w:val="Heading 2"/>
    <w:basedOn w:val="Normal"/>
    <w:next w:val="Normal"/>
    <w:qFormat/>
    <w:pPr>
      <w:spacing w:after="160" w:before="280"/>
      <w:outlineLvl w:val="1"/>
    </w:pPr>
    <w:rPr>
      <w:rFonts w:ascii="Georgia" w:cs="Georgia" w:eastAsia="Georgia" w:hAnsi="Georgia"/>
      <w:b/>
      <w:bCs/>
      <w:color w:val="2C3E50"/>
      <w:sz w:val="28"/>
      <w:szCs w:val="28"/>
    </w:rPr>
  </w:style>
  <w:style w:type="paragraph" w:styleId="Heading3">
    <w:name w:val="Heading 3"/>
    <w:basedOn w:val="Normal"/>
    <w:next w:val="Normal"/>
    <w:qFormat/>
    <w:pPr>
      <w:spacing w:after="120" w:before="200"/>
      <w:outlineLvl w:val="2"/>
    </w:pPr>
    <w:rPr>
      <w:rFonts w:ascii="Georgia" w:cs="Georgia" w:eastAsia="Georgia" w:hAnsi="Georgia"/>
      <w:b/>
      <w:bCs/>
      <w:color w:val="1A233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2026-03-20T15:23:53.368Z</dcterms:created>
  <dcterms:modified xsi:type="dcterms:W3CDTF">2026-03-20T15:23:53.368Z</dcterms:modified>
</cp:coreProperties>
</file>

<file path=docProps/custom.xml><?xml version="1.0" encoding="utf-8"?>
<Properties xmlns="http://schemas.openxmlformats.org/officeDocument/2006/custom-properties" xmlns:vt="http://schemas.openxmlformats.org/officeDocument/2006/docPropsVTypes"/>
</file>