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80"/>
        <w:jc w:val="left"/>
      </w:pPr>
      <w:r>
        <w:rPr>
          <w:rFonts w:ascii="Arial" w:cs="Arial" w:eastAsia="Arial" w:hAnsi="Arial"/>
          <w:b/>
          <w:bCs/>
          <w:color w:val="2C3E50"/>
          <w:spacing w:val="120"/>
          <w:sz w:val="18"/>
          <w:szCs w:val="18"/>
        </w:rPr>
        <w:t xml:space="preserve">LEADERSHIP FOUNDATION</w:t>
      </w:r>
    </w:p>
    <w:p>
      <w:pPr>
        <w:spacing w:after="40"/>
        <w:jc w:val="left"/>
      </w:pPr>
      <w:r>
        <w:rPr>
          <w:rFonts w:ascii="Arial" w:cs="Arial" w:eastAsia="Arial" w:hAnsi="Arial"/>
          <w:color w:val="B08D57"/>
          <w:spacing w:val="80"/>
          <w:sz w:val="20"/>
          <w:szCs w:val="20"/>
        </w:rPr>
        <w:t xml:space="preserve">MODULE 3</w:t>
      </w:r>
    </w:p>
    <w:p>
      <w:pPr>
        <w:spacing w:after="200"/>
      </w:pPr>
    </w:p>
    <w:p>
      <w:pPr>
        <w:pBdr>
          <w:bottom w:val="single" w:color="B08D57" w:sz="6" w:space="8"/>
        </w:pBdr>
        <w:spacing w:after="200"/>
        <w:jc w:val="left"/>
      </w:pPr>
      <w:r>
        <w:rPr>
          <w:rFonts w:ascii="Georgia" w:cs="Georgia" w:eastAsia="Georgia" w:hAnsi="Georgia"/>
          <w:b/>
          <w:bCs/>
          <w:color w:val="1A2332"/>
          <w:sz w:val="52"/>
          <w:szCs w:val="52"/>
        </w:rPr>
        <w:t xml:space="preserve">Emotional Intelligence &amp; Conflict Resolution</w:t>
      </w:r>
    </w:p>
    <w:p>
      <w:pPr>
        <w:spacing w:after="100"/>
      </w:pPr>
    </w:p>
    <w:p>
      <w:pPr>
        <w:spacing w:after="200"/>
        <w:jc w:val="left"/>
      </w:pPr>
      <w:r>
        <w:rPr>
          <w:rFonts w:ascii="Georgia" w:cs="Georgia" w:eastAsia="Georgia" w:hAnsi="Georgia"/>
          <w:color w:val="6B7280"/>
          <w:sz w:val="24"/>
          <w:szCs w:val="24"/>
        </w:rPr>
        <w:t xml:space="preserve">The ability to read a room, manage your reactions, and resolve tension defines the best leaders.</w:t>
      </w:r>
    </w:p>
    <w:p>
      <w:pPr>
        <w:spacing w:after="1800"/>
      </w:pPr>
    </w:p>
    <w:p>
      <w:pPr>
        <w:pBdr>
          <w:top w:val="single" w:color="B08D57" w:sz="2" w:space="8"/>
        </w:pBdr>
        <w:spacing w:after="60"/>
        <w:jc w:val="left"/>
      </w:pPr>
      <w:r>
        <w:rPr>
          <w:rFonts w:ascii="Arial" w:cs="Arial" w:eastAsia="Arial" w:hAnsi="Arial"/>
          <w:color w:val="B08D57"/>
          <w:spacing w:val="100"/>
          <w:sz w:val="16"/>
          <w:szCs w:val="16"/>
        </w:rPr>
        <w:t xml:space="preserve">COMMERCIAL LEADERSHIP PROGRAMME</w:t>
      </w:r>
    </w:p>
    <w:p>
      <w:pPr>
        <w:jc w:val="left"/>
      </w:pPr>
      <w:r>
        <w:rPr>
          <w:rFonts w:ascii="Arial" w:cs="Arial" w:eastAsia="Arial" w:hAnsi="Arial"/>
          <w:color w:val="6B7280"/>
          <w:sz w:val="18"/>
          <w:szCs w:val="18"/>
        </w:rPr>
        <w:t xml:space="preserve">Spa Director &amp; Spa Manager Development</w:t>
      </w:r>
    </w:p>
    <w:p>
      <w:r>
        <w:br w:type="page"/>
      </w:r>
    </w:p>
    <w:p>
      <w:pPr>
        <w:sectPr>
          <w:pgSz w:w="11906" w:h="16838" w:orient="portrait"/>
          <w:pgMar w:top="1440" w:right="1440" w:bottom="1440" w:left="1440" w:header="708" w:footer="708" w:gutter="0"/>
          <w:pgNumType/>
          <w:docGrid w:linePitch="360"/>
        </w:sectPr>
      </w:pPr>
    </w:p>
    <w:p>
      <w:pPr>
        <w:pStyle w:val="Heading1"/>
        <w:spacing w:after="120" w:before="360"/>
      </w:pPr>
      <w:r>
        <w:rPr>
          <w:rFonts w:ascii="Georgia" w:cs="Georgia" w:eastAsia="Georgia" w:hAnsi="Georgia"/>
          <w:b/>
          <w:bCs/>
          <w:color w:val="1A2332"/>
          <w:sz w:val="36"/>
          <w:szCs w:val="36"/>
        </w:rPr>
        <w:t xml:space="preserve">Module Overview</w:t>
      </w:r>
    </w:p>
    <w:p>
      <w:pPr>
        <w:spacing w:after="160"/>
      </w:pPr>
      <w:r>
        <w:rPr>
          <w:rFonts w:ascii="Arial" w:cs="Arial" w:eastAsia="Arial" w:hAnsi="Arial"/>
          <w:color w:val="6B7280"/>
          <w:sz w:val="24"/>
          <w:szCs w:val="24"/>
        </w:rPr>
        <w:t xml:space="preserve">The ability to read a room, manage your reactions, and resolve tension defines the best leaders.</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tcBorders>
              <w:top w:val="none" w:sz="0"/>
              <w:left w:val="none" w:sz="0"/>
              <w:bottom w:val="none" w:sz="0"/>
              <w:right w:val="none" w:sz="0"/>
            </w:tcBorders>
            <w:shd w:fill="2C3E50" w:val="clear"/>
            <w:tcMar>
              <w:top w:type="dxa" w:w="80"/>
              <w:left w:type="dxa" w:w="120"/>
              <w:bottom w:type="dxa" w:w="80"/>
              <w:right w:type="dxa" w:w="120"/>
            </w:tcMar>
          </w:tcPr>
          <w:p>
            <w:r>
              <w:rPr>
                <w:rFonts w:ascii="Arial" w:cs="Arial" w:eastAsia="Arial" w:hAnsi="Arial"/>
                <w:b/>
                <w:bCs/>
                <w:color w:val="FFFFFF"/>
                <w:sz w:val="16"/>
                <w:szCs w:val="16"/>
              </w:rPr>
              <w:t xml:space="preserve">LESSON</w:t>
            </w:r>
          </w:p>
        </w:tc>
        <w:tc>
          <w:tcPr>
            <w:tcW w:type="dxa" w:w="7526"/>
            <w:tcBorders>
              <w:top w:val="none" w:sz="0"/>
              <w:left w:val="none" w:sz="0"/>
              <w:bottom w:val="none" w:sz="0"/>
              <w:right w:val="none" w:sz="0"/>
            </w:tcBorders>
            <w:shd w:fill="2C3E50" w:val="clear"/>
            <w:tcMar>
              <w:top w:type="dxa" w:w="80"/>
              <w:left w:type="dxa" w:w="120"/>
              <w:bottom w:type="dxa" w:w="80"/>
              <w:right w:type="dxa" w:w="120"/>
            </w:tcMar>
          </w:tcPr>
          <w:p>
            <w:r>
              <w:rPr>
                <w:rFonts w:ascii="Arial" w:cs="Arial" w:eastAsia="Arial" w:hAnsi="Arial"/>
                <w:b/>
                <w:bCs/>
                <w:color w:val="FFFFFF"/>
                <w:sz w:val="16"/>
                <w:szCs w:val="16"/>
              </w:rPr>
              <w:t xml:space="preserve">TOPIC</w:t>
            </w:r>
          </w:p>
        </w:tc>
      </w:tr>
      <w:tr>
        <w:tc>
          <w:tcPr>
            <w:tcW w:type="dxa" w:w="1500"/>
            <w:tcBorders>
              <w:top w:val="single" w:color="D5D5D5" w:sz="1"/>
              <w:left w:val="single" w:color="D5D5D5" w:sz="1"/>
              <w:bottom w:val="single" w:color="D5D5D5" w:sz="1"/>
              <w:right w:val="single" w:color="D5D5D5" w:sz="1"/>
            </w:tcBorders>
            <w:shd w:fill="E8ECF0" w:val="clear"/>
            <w:tcMar>
              <w:top w:type="dxa" w:w="80"/>
              <w:left w:type="dxa" w:w="120"/>
              <w:bottom w:type="dxa" w:w="80"/>
              <w:right w:type="dxa" w:w="120"/>
            </w:tcMar>
          </w:tcPr>
          <w:p>
            <w:r>
              <w:rPr>
                <w:rFonts w:ascii="Arial" w:cs="Arial" w:eastAsia="Arial" w:hAnsi="Arial"/>
                <w:b/>
                <w:bCs/>
                <w:color w:val="2C3E50"/>
                <w:sz w:val="20"/>
                <w:szCs w:val="20"/>
              </w:rPr>
              <w:t xml:space="preserve">Lesson 1</w:t>
            </w:r>
          </w:p>
        </w:tc>
        <w:tc>
          <w:tcPr>
            <w:tcW w:type="dxa" w:w="7526"/>
            <w:tcBorders>
              <w:top w:val="single" w:color="D5D5D5" w:sz="1"/>
              <w:left w:val="single" w:color="D5D5D5" w:sz="1"/>
              <w:bottom w:val="single" w:color="D5D5D5" w:sz="1"/>
              <w:right w:val="single" w:color="D5D5D5" w:sz="1"/>
            </w:tcBorders>
            <w:shd w:fill="E8ECF0" w:val="clear"/>
            <w:tcMar>
              <w:top w:type="dxa" w:w="80"/>
              <w:left w:type="dxa" w:w="120"/>
              <w:bottom w:type="dxa" w:w="80"/>
              <w:right w:type="dxa" w:w="120"/>
            </w:tcMar>
          </w:tcPr>
          <w:p>
            <w:r>
              <w:rPr>
                <w:rFonts w:ascii="Arial" w:cs="Arial" w:eastAsia="Arial" w:hAnsi="Arial"/>
                <w:color w:val="2C2C2C"/>
                <w:sz w:val="20"/>
                <w:szCs w:val="20"/>
              </w:rPr>
              <w:t xml:space="preserve">Emotional Intelligence in Practice</w:t>
            </w:r>
          </w:p>
        </w:tc>
      </w:tr>
      <w:tr>
        <w:tc>
          <w:tcPr>
            <w:tcW w:type="dxa" w:w="1500"/>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b/>
                <w:bCs/>
                <w:color w:val="2C3E50"/>
                <w:sz w:val="20"/>
                <w:szCs w:val="20"/>
              </w:rPr>
              <w:t xml:space="preserve">Lesson 2</w:t>
            </w:r>
          </w:p>
        </w:tc>
        <w:tc>
          <w:tcPr>
            <w:tcW w:type="dxa" w:w="7526"/>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color w:val="2C2C2C"/>
                <w:sz w:val="20"/>
                <w:szCs w:val="20"/>
              </w:rPr>
              <w:t xml:space="preserve">Conflict Resolution Frameworks</w:t>
            </w:r>
          </w:p>
        </w:tc>
      </w:tr>
    </w:tbl>
    <w:p>
      <w:pPr>
        <w:spacing w:after="200"/>
      </w:pPr>
    </w:p>
    <w:p>
      <w:r>
        <w:br w:type="page"/>
      </w:r>
    </w:p>
    <w:p>
      <w:pPr>
        <w:pStyle w:val="Heading1"/>
        <w:spacing w:after="120" w:before="360"/>
      </w:pPr>
      <w:r>
        <w:rPr>
          <w:rFonts w:ascii="Georgia" w:cs="Georgia" w:eastAsia="Georgia" w:hAnsi="Georgia"/>
          <w:b/>
          <w:bCs/>
          <w:color w:val="2C3E50"/>
          <w:sz w:val="36"/>
          <w:szCs w:val="36"/>
        </w:rPr>
        <w:t xml:space="preserve">Lesson 1: Emotional Intelligence in Practice</w:t>
      </w:r>
    </w:p>
    <w:p>
      <w:pPr>
        <w:spacing w:after="160"/>
      </w:pPr>
      <w:r>
        <w:rPr>
          <w:rFonts w:ascii="Arial" w:cs="Arial" w:eastAsia="Arial" w:hAnsi="Arial"/>
          <w:color w:val="2C2C2C"/>
          <w:sz w:val="22"/>
          <w:szCs w:val="22"/>
        </w:rPr>
        <w:t xml:space="preserve">Emotional intelligence has four components, and spa leaders need all of them. Self-awareness means knowing your triggers — the situations that make you reactive, frustrated, or avoidant. Self-regulation means creating space between the trigger and your response. Empathy means understanding how your team and guests experience situations differently from you. Social skill means building and maintaining the relationships that sustain performance.</w:t>
      </w:r>
    </w:p>
    <w:p>
      <w:pPr>
        <w:spacing w:after="160"/>
      </w:pPr>
      <w:r>
        <w:rPr>
          <w:rFonts w:ascii="Arial" w:cs="Arial" w:eastAsia="Arial" w:hAnsi="Arial"/>
          <w:color w:val="2C2C2C"/>
          <w:sz w:val="22"/>
          <w:szCs w:val="22"/>
        </w:rPr>
        <w:t xml:space="preserve">In a spa environment, emotions run close to the surface. Therapists do intimate, physically demanding work. Guests arrive stressed or vulnerable. The pressure of peak periods creates tension. A leader who can read these dynamics and respond thoughtfully — rather than reactively — creates a stable environment where everyone performs better.</w:t>
      </w:r>
    </w:p>
    <w:p>
      <w:pPr>
        <w:spacing w:after="80"/>
      </w:pPr>
    </w:p>
    <w:p>
      <w:pPr>
        <w:shd w:fill="E8ECF0" w:val="clear"/>
        <w:spacing w:after="80" w:before="120"/>
        <w:ind w:left="120" w:right="120"/>
      </w:pPr>
      <w:r>
        <w:rPr>
          <w:rFonts w:ascii="Arial" w:cs="Arial" w:eastAsia="Arial" w:hAnsi="Arial"/>
          <w:b/>
          <w:bCs/>
          <w:color w:val="2C3E50"/>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Recognise your personal triggers under pressure</w:t>
      </w:r>
    </w:p>
    <w:p>
      <w:pPr>
        <w:pStyle w:val="ListParagraph"/>
        <w:numPr>
          <w:ilvl w:val="0"/>
          <w:numId w:val="2"/>
        </w:numPr>
        <w:spacing w:after="80"/>
      </w:pPr>
      <w:r>
        <w:rPr>
          <w:rFonts w:ascii="Arial" w:cs="Arial" w:eastAsia="Arial" w:hAnsi="Arial"/>
          <w:color w:val="2C2C2C"/>
          <w:sz w:val="21"/>
          <w:szCs w:val="21"/>
        </w:rPr>
        <w:t xml:space="preserve">Develop self-regulation strategies for high-stress moments</w:t>
      </w:r>
    </w:p>
    <w:p>
      <w:pPr>
        <w:pStyle w:val="ListParagraph"/>
        <w:numPr>
          <w:ilvl w:val="0"/>
          <w:numId w:val="2"/>
        </w:numPr>
        <w:spacing w:after="80"/>
      </w:pPr>
      <w:r>
        <w:rPr>
          <w:rFonts w:ascii="Arial" w:cs="Arial" w:eastAsia="Arial" w:hAnsi="Arial"/>
          <w:color w:val="2C2C2C"/>
          <w:sz w:val="21"/>
          <w:szCs w:val="21"/>
        </w:rPr>
        <w:t xml:space="preserve">Practice empathy before expectation</w:t>
      </w:r>
    </w:p>
    <w:p>
      <w:pPr>
        <w:pStyle w:val="ListParagraph"/>
        <w:numPr>
          <w:ilvl w:val="0"/>
          <w:numId w:val="2"/>
        </w:numPr>
        <w:spacing w:after="80"/>
      </w:pPr>
      <w:r>
        <w:rPr>
          <w:rFonts w:ascii="Arial" w:cs="Arial" w:eastAsia="Arial" w:hAnsi="Arial"/>
          <w:color w:val="2C2C2C"/>
          <w:sz w:val="21"/>
          <w:szCs w:val="21"/>
        </w:rPr>
        <w:t xml:space="preserve">Build social skills that sustain team relationships</w:t>
      </w:r>
    </w:p>
    <w:p>
      <w:r>
        <w:br w:type="page"/>
      </w:r>
    </w:p>
    <w:p>
      <w:pPr>
        <w:pStyle w:val="Heading1"/>
        <w:spacing w:after="120" w:before="360"/>
      </w:pPr>
      <w:r>
        <w:rPr>
          <w:rFonts w:ascii="Georgia" w:cs="Georgia" w:eastAsia="Georgia" w:hAnsi="Georgia"/>
          <w:b/>
          <w:bCs/>
          <w:color w:val="2C3E50"/>
          <w:sz w:val="36"/>
          <w:szCs w:val="36"/>
        </w:rPr>
        <w:t xml:space="preserve">Lesson 2: Conflict Resolution Frameworks</w:t>
      </w:r>
    </w:p>
    <w:p>
      <w:pPr>
        <w:spacing w:after="160"/>
      </w:pPr>
      <w:r>
        <w:rPr>
          <w:rFonts w:ascii="Arial" w:cs="Arial" w:eastAsia="Arial" w:hAnsi="Arial"/>
          <w:color w:val="2C2C2C"/>
          <w:sz w:val="22"/>
          <w:szCs w:val="22"/>
        </w:rPr>
        <w:t xml:space="preserve">Conflict avoidance is the most expensive leadership habit in hospitality. That therapist who's consistently late, the receptionist who undermines the upsell process, the tension between two team members that everyone pretends isn't happening — every day you avoid the conversation, it costs you more.</w:t>
      </w:r>
    </w:p>
    <w:p>
      <w:pPr>
        <w:spacing w:after="160"/>
      </w:pPr>
      <w:r>
        <w:rPr>
          <w:rFonts w:ascii="Arial" w:cs="Arial" w:eastAsia="Arial" w:hAnsi="Arial"/>
          <w:color w:val="2C2C2C"/>
          <w:sz w:val="22"/>
          <w:szCs w:val="22"/>
        </w:rPr>
        <w:t xml:space="preserve">The DESC model gives you a professional framework. Describe the situation factually. Express how it affects the team or operation. Specify what you need to change. outline the Consequences of change (positive) and no change (escalation). This isn't aggressive — it's clear, fair, and documented.</w:t>
      </w:r>
    </w:p>
    <w:p>
      <w:pPr>
        <w:spacing w:after="160"/>
      </w:pPr>
      <w:r>
        <w:rPr>
          <w:rFonts w:ascii="Arial" w:cs="Arial" w:eastAsia="Arial" w:hAnsi="Arial"/>
          <w:color w:val="2C2C2C"/>
          <w:sz w:val="22"/>
          <w:szCs w:val="22"/>
        </w:rPr>
        <w:t xml:space="preserve">Mediating team disputes requires different skills: listening to both sides without judgement, identifying the root cause (often different from the presenting complaint), finding common ground, and agreeing next steps that both parties commit to.</w:t>
      </w:r>
    </w:p>
    <w:p>
      <w:pPr>
        <w:spacing w:after="80"/>
      </w:pPr>
    </w:p>
    <w:p>
      <w:pPr>
        <w:shd w:fill="E8ECF0" w:val="clear"/>
        <w:spacing w:after="80" w:before="120"/>
        <w:ind w:left="120" w:right="120"/>
      </w:pPr>
      <w:r>
        <w:rPr>
          <w:rFonts w:ascii="Arial" w:cs="Arial" w:eastAsia="Arial" w:hAnsi="Arial"/>
          <w:b/>
          <w:bCs/>
          <w:color w:val="2C3E50"/>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Understand why conflict avoidance is costly, not cautious</w:t>
      </w:r>
    </w:p>
    <w:p>
      <w:pPr>
        <w:pStyle w:val="ListParagraph"/>
        <w:numPr>
          <w:ilvl w:val="0"/>
          <w:numId w:val="2"/>
        </w:numPr>
        <w:spacing w:after="80"/>
      </w:pPr>
      <w:r>
        <w:rPr>
          <w:rFonts w:ascii="Arial" w:cs="Arial" w:eastAsia="Arial" w:hAnsi="Arial"/>
          <w:color w:val="2C2C2C"/>
          <w:sz w:val="21"/>
          <w:szCs w:val="21"/>
        </w:rPr>
        <w:t xml:space="preserve">Apply the DESC model for direct, fair conversations</w:t>
      </w:r>
    </w:p>
    <w:p>
      <w:pPr>
        <w:pStyle w:val="ListParagraph"/>
        <w:numPr>
          <w:ilvl w:val="0"/>
          <w:numId w:val="2"/>
        </w:numPr>
        <w:spacing w:after="80"/>
      </w:pPr>
      <w:r>
        <w:rPr>
          <w:rFonts w:ascii="Arial" w:cs="Arial" w:eastAsia="Arial" w:hAnsi="Arial"/>
          <w:color w:val="2C2C2C"/>
          <w:sz w:val="21"/>
          <w:szCs w:val="21"/>
        </w:rPr>
        <w:t xml:space="preserve">Mediate team disputes without taking sides</w:t>
      </w:r>
    </w:p>
    <w:p>
      <w:pPr>
        <w:pStyle w:val="ListParagraph"/>
        <w:numPr>
          <w:ilvl w:val="0"/>
          <w:numId w:val="2"/>
        </w:numPr>
        <w:spacing w:after="80"/>
      </w:pPr>
      <w:r>
        <w:rPr>
          <w:rFonts w:ascii="Arial" w:cs="Arial" w:eastAsia="Arial" w:hAnsi="Arial"/>
          <w:color w:val="2C2C2C"/>
          <w:sz w:val="21"/>
          <w:szCs w:val="21"/>
        </w:rPr>
        <w:t xml:space="preserve">Know when to coach, direct, or escalate</w:t>
      </w:r>
    </w:p>
    <w:p>
      <w:r>
        <w:br w:type="page"/>
      </w:r>
    </w:p>
    <w:p>
      <w:pPr>
        <w:pStyle w:val="Heading1"/>
        <w:spacing w:after="120" w:before="360"/>
      </w:pPr>
      <w:r>
        <w:rPr>
          <w:rFonts w:ascii="Georgia" w:cs="Georgia" w:eastAsia="Georgia" w:hAnsi="Georgia"/>
          <w:b/>
          <w:bCs/>
          <w:color w:val="1A2332"/>
          <w:sz w:val="36"/>
          <w:szCs w:val="36"/>
        </w:rPr>
        <w:t xml:space="preserve">Key Concept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200"/>
              <w:left w:type="dxa" w:w="240"/>
              <w:bottom w:type="dxa" w:w="200"/>
              <w:right w:type="dxa" w:w="240"/>
            </w:tcMar>
          </w:tcPr>
          <w:p>
            <w:pPr>
              <w:spacing w:after="0"/>
            </w:pPr>
            <w:r>
              <w:rPr>
                <w:rFonts w:ascii="Georgia" w:cs="Georgia" w:eastAsia="Georgia" w:hAnsi="Georgia"/>
                <w:color w:val="1A2332"/>
                <w:sz w:val="26"/>
                <w:szCs w:val="26"/>
              </w:rPr>
              <w:t xml:space="preserve">“The best spa leaders don't avoid conflict. They address it early, directly, and with empathy — before it poisons the team.”</w:t>
            </w:r>
          </w:p>
        </w:tc>
      </w:tr>
    </w:tbl>
    <w:p>
      <w:pPr>
        <w:spacing w:after="300"/>
      </w:pPr>
    </w:p>
    <w:p>
      <w:pPr>
        <w:pStyle w:val="Heading1"/>
        <w:spacing w:after="120" w:before="360"/>
      </w:pPr>
      <w:r>
        <w:rPr>
          <w:rFonts w:ascii="Georgia" w:cs="Georgia" w:eastAsia="Georgia" w:hAnsi="Georgia"/>
          <w:b/>
          <w:bCs/>
          <w:color w:val="1A2332"/>
          <w:sz w:val="36"/>
          <w:szCs w:val="36"/>
        </w:rPr>
        <w:t xml:space="preserve">Practical Exercise</w:t>
      </w:r>
    </w:p>
    <w:p>
      <w:pPr>
        <w:spacing w:after="160"/>
      </w:pPr>
      <w:r>
        <w:rPr>
          <w:rFonts w:ascii="Arial" w:cs="Arial" w:eastAsia="Arial" w:hAnsi="Arial"/>
          <w:color w:val="2C2C2C"/>
          <w:sz w:val="22"/>
          <w:szCs w:val="22"/>
        </w:rPr>
        <w:t xml:space="preserve">Identify your top three emotional triggers at work and write management strategies for each. Choose a recurring conflict or tension in your team and write a DESC conversation plan. Practise one difficult conversation with a trusted colleague and reflect on the outcome.</w:t>
      </w:r>
    </w:p>
    <w:p>
      <w:pPr>
        <w:spacing w:after="100"/>
      </w:pPr>
    </w:p>
    <w:p>
      <w:pPr>
        <w:spacing w:after="80"/>
      </w:pPr>
      <w:r>
        <w:rPr>
          <w:rFonts w:ascii="Arial" w:cs="Arial" w:eastAsia="Arial" w:hAnsi="Arial"/>
          <w:b/>
          <w:bCs/>
          <w:color w:val="6B7280"/>
          <w:spacing w:val="80"/>
          <w:sz w:val="18"/>
          <w:szCs w:val="18"/>
        </w:rPr>
        <w:t xml:space="preserve">YOUR NOTES</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r>
        <w:br w:type="page"/>
      </w:r>
    </w:p>
    <w:p>
      <w:pPr>
        <w:pStyle w:val="Heading1"/>
        <w:spacing w:after="120" w:before="360"/>
      </w:pPr>
      <w:r>
        <w:rPr>
          <w:rFonts w:ascii="Georgia" w:cs="Georgia" w:eastAsia="Georgia" w:hAnsi="Georgia"/>
          <w:b/>
          <w:bCs/>
          <w:color w:val="1A2332"/>
          <w:sz w:val="36"/>
          <w:szCs w:val="36"/>
        </w:rPr>
        <w:t xml:space="preserve">Learning Outcomes</w:t>
      </w:r>
    </w:p>
    <w:p>
      <w:pPr>
        <w:spacing w:after="160"/>
      </w:pPr>
      <w:r>
        <w:rPr>
          <w:rFonts w:ascii="Arial" w:cs="Arial" w:eastAsia="Arial" w:hAnsi="Arial"/>
          <w:color w:val="6B7280"/>
          <w:sz w:val="22"/>
          <w:szCs w:val="22"/>
        </w:rPr>
        <w:t xml:space="preserve">By completing this module, you will be able to:</w:t>
      </w:r>
    </w:p>
    <w:p>
      <w:pPr>
        <w:spacing w:after="60"/>
      </w:pPr>
    </w:p>
    <w:p>
      <w:pPr>
        <w:pStyle w:val="ListParagraph"/>
        <w:numPr>
          <w:ilvl w:val="0"/>
          <w:numId w:val="3"/>
        </w:numPr>
        <w:spacing w:after="120"/>
      </w:pPr>
      <w:r>
        <w:rPr>
          <w:rFonts w:ascii="Arial" w:cs="Arial" w:eastAsia="Arial" w:hAnsi="Arial"/>
          <w:color w:val="2C2C2C"/>
          <w:sz w:val="22"/>
          <w:szCs w:val="22"/>
        </w:rPr>
        <w:t xml:space="preserve">Identify personal emotional triggers and develop coping strategies</w:t>
      </w:r>
    </w:p>
    <w:p>
      <w:pPr>
        <w:pStyle w:val="ListParagraph"/>
        <w:numPr>
          <w:ilvl w:val="0"/>
          <w:numId w:val="3"/>
        </w:numPr>
        <w:spacing w:after="120"/>
      </w:pPr>
      <w:r>
        <w:rPr>
          <w:rFonts w:ascii="Arial" w:cs="Arial" w:eastAsia="Arial" w:hAnsi="Arial"/>
          <w:color w:val="2C2C2C"/>
          <w:sz w:val="22"/>
          <w:szCs w:val="22"/>
        </w:rPr>
        <w:t xml:space="preserve">Apply the DESC model to workplace conflict</w:t>
      </w:r>
    </w:p>
    <w:p>
      <w:pPr>
        <w:pStyle w:val="ListParagraph"/>
        <w:numPr>
          <w:ilvl w:val="0"/>
          <w:numId w:val="3"/>
        </w:numPr>
        <w:spacing w:after="120"/>
      </w:pPr>
      <w:r>
        <w:rPr>
          <w:rFonts w:ascii="Arial" w:cs="Arial" w:eastAsia="Arial" w:hAnsi="Arial"/>
          <w:color w:val="2C2C2C"/>
          <w:sz w:val="22"/>
          <w:szCs w:val="22"/>
        </w:rPr>
        <w:t xml:space="preserve">Mediate team disputes with fairness and clarity</w:t>
      </w:r>
    </w:p>
    <w:p>
      <w:pPr>
        <w:pStyle w:val="ListParagraph"/>
        <w:numPr>
          <w:ilvl w:val="0"/>
          <w:numId w:val="3"/>
        </w:numPr>
        <w:spacing w:after="120"/>
      </w:pPr>
      <w:r>
        <w:rPr>
          <w:rFonts w:ascii="Arial" w:cs="Arial" w:eastAsia="Arial" w:hAnsi="Arial"/>
          <w:color w:val="2C2C2C"/>
          <w:sz w:val="22"/>
          <w:szCs w:val="22"/>
        </w:rPr>
        <w:t xml:space="preserve">Build emotional resilience for high-pressure operational environments</w:t>
      </w:r>
    </w:p>
    <w:p>
      <w:pPr>
        <w:spacing w:after="200"/>
      </w:pPr>
    </w:p>
    <w:p>
      <w:pPr>
        <w:spacing w:after="80"/>
      </w:pPr>
      <w:r>
        <w:rPr>
          <w:rFonts w:ascii="Arial" w:cs="Arial" w:eastAsia="Arial" w:hAnsi="Arial"/>
          <w:b/>
          <w:bCs/>
          <w:color w:val="2C3E50"/>
          <w:spacing w:val="80"/>
          <w:sz w:val="18"/>
          <w:szCs w:val="18"/>
        </w:rPr>
        <w:t xml:space="preserve">SELF-ASSESSMENT</w:t>
      </w:r>
    </w:p>
    <w:p>
      <w:pPr>
        <w:spacing w:after="160"/>
      </w:pPr>
      <w:r>
        <w:rPr>
          <w:rFonts w:ascii="Arial" w:cs="Arial" w:eastAsia="Arial" w:hAnsi="Arial"/>
          <w:color w:val="6B7280"/>
          <w:sz w:val="20"/>
          <w:szCs w:val="20"/>
        </w:rPr>
        <w:t xml:space="preserve">Rate your confidence in each outcome (1 = Not yet confident, 5 = Fully confident):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26"/>
        <w:gridCol w:w="640"/>
        <w:gridCol w:w="640"/>
        <w:gridCol w:w="640"/>
        <w:gridCol w:w="640"/>
        <w:gridCol w:w="640"/>
      </w:tblGrid>
      <w:tr>
        <w:tc>
          <w:tcPr>
            <w:tcW w:type="dxa" w:w="5826"/>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Outcome</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1</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2</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3</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4</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5</w:t>
            </w:r>
          </w:p>
        </w:tc>
      </w:tr>
      <w:tr>
        <w:tc>
          <w:tcPr>
            <w:tcW w:type="dxa" w:w="5826"/>
            <w:tcBorders>
              <w:top w:val="single" w:color="D5D5D5" w:sz="1"/>
              <w:left w:val="single" w:color="D5D5D5" w:sz="1"/>
              <w:bottom w:val="single" w:color="D5D5D5" w:sz="1"/>
              <w:right w:val="single" w:color="D5D5D5" w:sz="1"/>
            </w:tcBorders>
            <w:shd w:fill="E8ECF0" w:val="clear"/>
            <w:tcMar>
              <w:top w:type="dxa" w:w="60"/>
              <w:left w:type="dxa" w:w="120"/>
              <w:bottom w:type="dxa" w:w="60"/>
              <w:right w:type="dxa" w:w="120"/>
            </w:tcMar>
          </w:tcPr>
          <w:p>
            <w:r>
              <w:rPr>
                <w:rFonts w:ascii="Arial" w:cs="Arial" w:eastAsia="Arial" w:hAnsi="Arial"/>
                <w:color w:val="2C2C2C"/>
                <w:sz w:val="18"/>
                <w:szCs w:val="18"/>
              </w:rPr>
              <w:t xml:space="preserve">Identify personal emotional triggers and develop coping strategies</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Apply the DESC model to workplace conflict</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E8ECF0" w:val="clear"/>
            <w:tcMar>
              <w:top w:type="dxa" w:w="60"/>
              <w:left w:type="dxa" w:w="120"/>
              <w:bottom w:type="dxa" w:w="60"/>
              <w:right w:type="dxa" w:w="120"/>
            </w:tcMar>
          </w:tcPr>
          <w:p>
            <w:r>
              <w:rPr>
                <w:rFonts w:ascii="Arial" w:cs="Arial" w:eastAsia="Arial" w:hAnsi="Arial"/>
                <w:color w:val="2C2C2C"/>
                <w:sz w:val="18"/>
                <w:szCs w:val="18"/>
              </w:rPr>
              <w:t xml:space="preserve">Mediate team disputes with fairness and clarity</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Build emotional resilience for high-pressure operational environments</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bl>
    <w:p>
      <w:r>
        <w:br w:type="page"/>
      </w:r>
    </w:p>
    <w:p>
      <w:pPr>
        <w:pStyle w:val="Heading1"/>
        <w:spacing w:after="120" w:before="360"/>
      </w:pPr>
      <w:r>
        <w:rPr>
          <w:rFonts w:ascii="Georgia" w:cs="Georgia" w:eastAsia="Georgia" w:hAnsi="Georgia"/>
          <w:b/>
          <w:bCs/>
          <w:color w:val="1A2332"/>
          <w:sz w:val="36"/>
          <w:szCs w:val="36"/>
        </w:rPr>
        <w:t xml:space="preserve">Assessment</w:t>
      </w:r>
    </w:p>
    <w:p>
      <w:pPr>
        <w:spacing w:after="160"/>
      </w:pPr>
      <w:r>
        <w:rPr>
          <w:rFonts w:ascii="Arial" w:cs="Arial" w:eastAsia="Arial" w:hAnsi="Arial"/>
          <w:color w:val="6B7280"/>
          <w:sz w:val="22"/>
          <w:szCs w:val="22"/>
        </w:rPr>
        <w:t xml:space="preserve">Complete the following submissions to demonstrate your learning:</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2C3E50"/>
                <w:sz w:val="24"/>
                <w:szCs w:val="24"/>
              </w:rPr>
              <w:t xml:space="preserve">Submission 1: Trigger Analysis</w:t>
            </w:r>
          </w:p>
          <w:p>
            <w:r>
              <w:rPr>
                <w:rFonts w:ascii="Arial" w:cs="Arial" w:eastAsia="Arial" w:hAnsi="Arial"/>
                <w:color w:val="2C2C2C"/>
                <w:sz w:val="20"/>
                <w:szCs w:val="20"/>
              </w:rPr>
              <w:t xml:space="preserve">Documented self-reflection on emotional triggers with management strategies.</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2C3E50"/>
                <w:sz w:val="24"/>
                <w:szCs w:val="24"/>
              </w:rPr>
              <w:t xml:space="preserve">Submission 2: Conflict Resolution Plan</w:t>
            </w:r>
          </w:p>
          <w:p>
            <w:r>
              <w:rPr>
                <w:rFonts w:ascii="Arial" w:cs="Arial" w:eastAsia="Arial" w:hAnsi="Arial"/>
                <w:color w:val="2C2C2C"/>
                <w:sz w:val="20"/>
                <w:szCs w:val="20"/>
              </w:rPr>
              <w:t xml:space="preserve">Applied DESC model to a real or realistic scenario with evidence of outcome.</w:t>
            </w:r>
          </w:p>
        </w:tc>
      </w:tr>
    </w:tbl>
    <w:p>
      <w:pPr>
        <w:spacing w:after="200"/>
      </w:pPr>
    </w:p>
    <w:p>
      <w:pPr>
        <w:spacing w:after="300"/>
      </w:pPr>
    </w:p>
    <w:p>
      <w:pPr>
        <w:pBdr>
          <w:top w:val="single" w:color="B08D57" w:sz="2" w:space="12"/>
        </w:pBdr>
        <w:spacing w:after="80"/>
      </w:pPr>
      <w:r>
        <w:rPr>
          <w:rFonts w:ascii="Arial" w:cs="Arial" w:eastAsia="Arial" w:hAnsi="Arial"/>
          <w:b/>
          <w:bCs/>
          <w:color w:val="B08D57"/>
          <w:spacing w:val="80"/>
          <w:sz w:val="18"/>
          <w:szCs w:val="18"/>
        </w:rPr>
        <w:t xml:space="preserve">MODULE COMPLETION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Name: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Date: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Assessor:</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1DC" w:sz="1" w:space="4"/>
      </w:pBdr>
      <w:jc w:val="right"/>
    </w:pPr>
    <w:r>
      <w:rPr>
        <w:rFonts w:ascii="Arial" w:cs="Arial" w:eastAsia="Arial" w:hAnsi="Arial"/>
        <w:color w:val="6B7280"/>
        <w:sz w:val="14"/>
        <w:szCs w:val="14"/>
      </w:rPr>
      <w:t xml:space="preserve">Commercial Leadership Programme  |  Page </w:t>
    </w:r>
    <w:r>
      <w:rPr>
        <w:rFonts w:ascii="Arial" w:cs="Arial" w:eastAsia="Arial" w:hAnsi="Arial"/>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1" w:space="4"/>
      </w:pBdr>
      <w:spacing w:after="0"/>
    </w:pPr>
    <w:r>
      <w:rPr>
        <w:rFonts w:ascii="Arial" w:cs="Arial" w:eastAsia="Arial" w:hAnsi="Arial"/>
        <w:color w:val="6B7280"/>
        <w:sz w:val="16"/>
        <w:szCs w:val="16"/>
      </w:rPr>
      <w:t xml:space="preserve">Module 3: Emotional Intelligence &amp; Conflict Resolution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2332"/>
      <w:sz w:val="36"/>
      <w:szCs w:val="36"/>
    </w:rPr>
  </w:style>
  <w:style w:type="paragraph" w:styleId="Heading2">
    <w:name w:val="Heading 2"/>
    <w:basedOn w:val="Normal"/>
    <w:next w:val="Normal"/>
    <w:qFormat/>
    <w:pPr>
      <w:spacing w:after="160" w:before="280"/>
      <w:outlineLvl w:val="1"/>
    </w:pPr>
    <w:rPr>
      <w:rFonts w:ascii="Georgia" w:cs="Georgia" w:eastAsia="Georgia" w:hAnsi="Georgia"/>
      <w:b/>
      <w:bCs/>
      <w:color w:val="2C3E50"/>
      <w:sz w:val="28"/>
      <w:szCs w:val="28"/>
    </w:rPr>
  </w:style>
  <w:style w:type="paragraph" w:styleId="Heading3">
    <w:name w:val="Heading 3"/>
    <w:basedOn w:val="Normal"/>
    <w:next w:val="Normal"/>
    <w:qFormat/>
    <w:pPr>
      <w:spacing w:after="120" w:before="200"/>
      <w:outlineLvl w:val="2"/>
    </w:pPr>
    <w:rPr>
      <w:rFonts w:ascii="Georgia" w:cs="Georgia" w:eastAsia="Georgia" w:hAnsi="Georgia"/>
      <w:b/>
      <w:bCs/>
      <w:color w:val="1A23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2026-03-20T15:23:53.432Z</dcterms:created>
  <dcterms:modified xsi:type="dcterms:W3CDTF">2026-03-20T15:23:53.432Z</dcterms:modified>
</cp:coreProperties>
</file>

<file path=docProps/custom.xml><?xml version="1.0" encoding="utf-8"?>
<Properties xmlns="http://schemas.openxmlformats.org/officeDocument/2006/custom-properties" xmlns:vt="http://schemas.openxmlformats.org/officeDocument/2006/docPropsVTypes"/>
</file>