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0"/>
      </w:pPr>
    </w:p>
    <w:p>
      <w:pPr>
        <w:spacing w:after="80"/>
        <w:jc w:val="left"/>
      </w:pPr>
      <w:r>
        <w:rPr>
          <w:rFonts w:ascii="Arial" w:cs="Arial" w:eastAsia="Arial" w:hAnsi="Arial"/>
          <w:b/>
          <w:bCs/>
          <w:color w:val="7C3A2E"/>
          <w:spacing w:val="120"/>
          <w:sz w:val="18"/>
          <w:szCs w:val="18"/>
        </w:rPr>
        <w:t xml:space="preserve">FINANCIAL &amp; COMMERCIAL MASTERY</w:t>
      </w:r>
    </w:p>
    <w:p>
      <w:pPr>
        <w:spacing w:after="40"/>
        <w:jc w:val="left"/>
      </w:pPr>
      <w:r>
        <w:rPr>
          <w:rFonts w:ascii="Arial" w:cs="Arial" w:eastAsia="Arial" w:hAnsi="Arial"/>
          <w:color w:val="B08D57"/>
          <w:spacing w:val="80"/>
          <w:sz w:val="20"/>
          <w:szCs w:val="20"/>
        </w:rPr>
        <w:t xml:space="preserve">MODULE 6</w:t>
      </w:r>
    </w:p>
    <w:p>
      <w:pPr>
        <w:spacing w:after="200"/>
      </w:pPr>
    </w:p>
    <w:p>
      <w:pPr>
        <w:pBdr>
          <w:bottom w:val="single" w:color="B08D57" w:sz="6" w:space="8"/>
        </w:pBdr>
        <w:spacing w:after="200"/>
        <w:jc w:val="left"/>
      </w:pPr>
      <w:r>
        <w:rPr>
          <w:rFonts w:ascii="Georgia" w:cs="Georgia" w:eastAsia="Georgia" w:hAnsi="Georgia"/>
          <w:b/>
          <w:bCs/>
          <w:color w:val="1A2332"/>
          <w:sz w:val="52"/>
          <w:szCs w:val="52"/>
        </w:rPr>
        <w:t xml:space="preserve">Understanding Spa Financials</w:t>
      </w:r>
    </w:p>
    <w:p>
      <w:pPr>
        <w:spacing w:after="100"/>
      </w:pPr>
    </w:p>
    <w:p>
      <w:pPr>
        <w:spacing w:after="200"/>
        <w:jc w:val="left"/>
      </w:pPr>
      <w:r>
        <w:rPr>
          <w:rFonts w:ascii="Georgia" w:cs="Georgia" w:eastAsia="Georgia" w:hAnsi="Georgia"/>
          <w:color w:val="6B7280"/>
          <w:sz w:val="24"/>
          <w:szCs w:val="24"/>
        </w:rPr>
        <w:t xml:space="preserve">If you don't understand the numbers, you're guessing. And guessing isn't a strategy.</w:t>
      </w:r>
    </w:p>
    <w:p>
      <w:pPr>
        <w:spacing w:after="1800"/>
      </w:pPr>
    </w:p>
    <w:p>
      <w:pPr>
        <w:pBdr>
          <w:top w:val="single" w:color="B08D57" w:sz="2" w:space="8"/>
        </w:pBdr>
        <w:spacing w:after="60"/>
        <w:jc w:val="left"/>
      </w:pPr>
      <w:r>
        <w:rPr>
          <w:rFonts w:ascii="Arial" w:cs="Arial" w:eastAsia="Arial" w:hAnsi="Arial"/>
          <w:color w:val="B08D57"/>
          <w:spacing w:val="100"/>
          <w:sz w:val="16"/>
          <w:szCs w:val="16"/>
        </w:rPr>
        <w:t xml:space="preserve">COMMERCIAL LEADERSHIP PROGRAMME</w:t>
      </w:r>
    </w:p>
    <w:p>
      <w:pPr>
        <w:jc w:val="left"/>
      </w:pPr>
      <w:r>
        <w:rPr>
          <w:rFonts w:ascii="Arial" w:cs="Arial" w:eastAsia="Arial" w:hAnsi="Arial"/>
          <w:color w:val="6B7280"/>
          <w:sz w:val="18"/>
          <w:szCs w:val="18"/>
        </w:rPr>
        <w:t xml:space="preserve">Spa Director &amp; Spa Manager Development</w:t>
      </w:r>
    </w:p>
    <w:p>
      <w:r>
        <w:br w:type="page"/>
      </w:r>
    </w:p>
    <w:p>
      <w:pPr>
        <w:sectPr>
          <w:pgSz w:w="11906" w:h="16838" w:orient="portrait"/>
          <w:pgMar w:top="1440" w:right="1440" w:bottom="1440" w:left="1440" w:header="708" w:footer="708" w:gutter="0"/>
          <w:pgNumType/>
          <w:docGrid w:linePitch="360"/>
        </w:sectPr>
      </w:pPr>
    </w:p>
    <w:p>
      <w:pPr>
        <w:pStyle w:val="Heading1"/>
        <w:spacing w:after="120" w:before="360"/>
      </w:pPr>
      <w:r>
        <w:rPr>
          <w:rFonts w:ascii="Georgia" w:cs="Georgia" w:eastAsia="Georgia" w:hAnsi="Georgia"/>
          <w:b/>
          <w:bCs/>
          <w:color w:val="1A2332"/>
          <w:sz w:val="36"/>
          <w:szCs w:val="36"/>
        </w:rPr>
        <w:t xml:space="preserve">Module Overview</w:t>
      </w:r>
    </w:p>
    <w:p>
      <w:pPr>
        <w:spacing w:after="160"/>
      </w:pPr>
      <w:r>
        <w:rPr>
          <w:rFonts w:ascii="Arial" w:cs="Arial" w:eastAsia="Arial" w:hAnsi="Arial"/>
          <w:color w:val="6B7280"/>
          <w:sz w:val="24"/>
          <w:szCs w:val="24"/>
        </w:rPr>
        <w:t xml:space="preserve">If you don't understand the numbers, you're guessing. And guessing isn't a strategy.</w:t>
      </w:r>
    </w:p>
    <w:p>
      <w:pPr>
        <w:spacing w:after="1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500"/>
        <w:gridCol w:w="7526"/>
      </w:tblGrid>
      <w:tr>
        <w:tc>
          <w:tcPr>
            <w:tcW w:type="dxa" w:w="1500"/>
            <w:tcBorders>
              <w:top w:val="none" w:sz="0"/>
              <w:left w:val="none" w:sz="0"/>
              <w:bottom w:val="none" w:sz="0"/>
              <w:right w:val="none" w:sz="0"/>
            </w:tcBorders>
            <w:shd w:fill="7C3A2E" w:val="clear"/>
            <w:tcMar>
              <w:top w:type="dxa" w:w="80"/>
              <w:left w:type="dxa" w:w="120"/>
              <w:bottom w:type="dxa" w:w="80"/>
              <w:right w:type="dxa" w:w="120"/>
            </w:tcMar>
          </w:tcPr>
          <w:p>
            <w:r>
              <w:rPr>
                <w:rFonts w:ascii="Arial" w:cs="Arial" w:eastAsia="Arial" w:hAnsi="Arial"/>
                <w:b/>
                <w:bCs/>
                <w:color w:val="FFFFFF"/>
                <w:sz w:val="16"/>
                <w:szCs w:val="16"/>
              </w:rPr>
              <w:t xml:space="preserve">LESSON</w:t>
            </w:r>
          </w:p>
        </w:tc>
        <w:tc>
          <w:tcPr>
            <w:tcW w:type="dxa" w:w="7526"/>
            <w:tcBorders>
              <w:top w:val="none" w:sz="0"/>
              <w:left w:val="none" w:sz="0"/>
              <w:bottom w:val="none" w:sz="0"/>
              <w:right w:val="none" w:sz="0"/>
            </w:tcBorders>
            <w:shd w:fill="7C3A2E" w:val="clear"/>
            <w:tcMar>
              <w:top w:type="dxa" w:w="80"/>
              <w:left w:type="dxa" w:w="120"/>
              <w:bottom w:type="dxa" w:w="80"/>
              <w:right w:type="dxa" w:w="120"/>
            </w:tcMar>
          </w:tcPr>
          <w:p>
            <w:r>
              <w:rPr>
                <w:rFonts w:ascii="Arial" w:cs="Arial" w:eastAsia="Arial" w:hAnsi="Arial"/>
                <w:b/>
                <w:bCs/>
                <w:color w:val="FFFFFF"/>
                <w:sz w:val="16"/>
                <w:szCs w:val="16"/>
              </w:rPr>
              <w:t xml:space="preserve">TOPIC</w:t>
            </w:r>
          </w:p>
        </w:tc>
      </w:tr>
      <w:tr>
        <w:tc>
          <w:tcPr>
            <w:tcW w:type="dxa" w:w="1500"/>
            <w:tcBorders>
              <w:top w:val="single" w:color="D5D5D5" w:sz="1"/>
              <w:left w:val="single" w:color="D5D5D5" w:sz="1"/>
              <w:bottom w:val="single" w:color="D5D5D5" w:sz="1"/>
              <w:right w:val="single" w:color="D5D5D5" w:sz="1"/>
            </w:tcBorders>
            <w:shd w:fill="F0E8E6" w:val="clear"/>
            <w:tcMar>
              <w:top w:type="dxa" w:w="80"/>
              <w:left w:type="dxa" w:w="120"/>
              <w:bottom w:type="dxa" w:w="80"/>
              <w:right w:type="dxa" w:w="120"/>
            </w:tcMar>
          </w:tcPr>
          <w:p>
            <w:r>
              <w:rPr>
                <w:rFonts w:ascii="Arial" w:cs="Arial" w:eastAsia="Arial" w:hAnsi="Arial"/>
                <w:b/>
                <w:bCs/>
                <w:color w:val="7C3A2E"/>
                <w:sz w:val="20"/>
                <w:szCs w:val="20"/>
              </w:rPr>
              <w:t xml:space="preserve">Lesson 1</w:t>
            </w:r>
          </w:p>
        </w:tc>
        <w:tc>
          <w:tcPr>
            <w:tcW w:type="dxa" w:w="7526"/>
            <w:tcBorders>
              <w:top w:val="single" w:color="D5D5D5" w:sz="1"/>
              <w:left w:val="single" w:color="D5D5D5" w:sz="1"/>
              <w:bottom w:val="single" w:color="D5D5D5" w:sz="1"/>
              <w:right w:val="single" w:color="D5D5D5" w:sz="1"/>
            </w:tcBorders>
            <w:shd w:fill="F0E8E6" w:val="clear"/>
            <w:tcMar>
              <w:top w:type="dxa" w:w="80"/>
              <w:left w:type="dxa" w:w="120"/>
              <w:bottom w:type="dxa" w:w="80"/>
              <w:right w:type="dxa" w:w="120"/>
            </w:tcMar>
          </w:tcPr>
          <w:p>
            <w:r>
              <w:rPr>
                <w:rFonts w:ascii="Arial" w:cs="Arial" w:eastAsia="Arial" w:hAnsi="Arial"/>
                <w:color w:val="2C2C2C"/>
                <w:sz w:val="20"/>
                <w:szCs w:val="20"/>
              </w:rPr>
              <w:t xml:space="preserve">Reading a P&amp;L Statement</w:t>
            </w:r>
          </w:p>
        </w:tc>
      </w:tr>
      <w:tr>
        <w:tc>
          <w:tcPr>
            <w:tcW w:type="dxa" w:w="1500"/>
            <w:tcBorders>
              <w:top w:val="single" w:color="D5D5D5" w:sz="1"/>
              <w:left w:val="single" w:color="D5D5D5" w:sz="1"/>
              <w:bottom w:val="single" w:color="D5D5D5" w:sz="1"/>
              <w:right w:val="single" w:color="D5D5D5" w:sz="1"/>
            </w:tcBorders>
            <w:shd w:fill="FFFFFF" w:val="clear"/>
            <w:tcMar>
              <w:top w:type="dxa" w:w="80"/>
              <w:left w:type="dxa" w:w="120"/>
              <w:bottom w:type="dxa" w:w="80"/>
              <w:right w:type="dxa" w:w="120"/>
            </w:tcMar>
          </w:tcPr>
          <w:p>
            <w:r>
              <w:rPr>
                <w:rFonts w:ascii="Arial" w:cs="Arial" w:eastAsia="Arial" w:hAnsi="Arial"/>
                <w:b/>
                <w:bCs/>
                <w:color w:val="7C3A2E"/>
                <w:sz w:val="20"/>
                <w:szCs w:val="20"/>
              </w:rPr>
              <w:t xml:space="preserve">Lesson 2</w:t>
            </w:r>
          </w:p>
        </w:tc>
        <w:tc>
          <w:tcPr>
            <w:tcW w:type="dxa" w:w="7526"/>
            <w:tcBorders>
              <w:top w:val="single" w:color="D5D5D5" w:sz="1"/>
              <w:left w:val="single" w:color="D5D5D5" w:sz="1"/>
              <w:bottom w:val="single" w:color="D5D5D5" w:sz="1"/>
              <w:right w:val="single" w:color="D5D5D5" w:sz="1"/>
            </w:tcBorders>
            <w:shd w:fill="FFFFFF" w:val="clear"/>
            <w:tcMar>
              <w:top w:type="dxa" w:w="80"/>
              <w:left w:type="dxa" w:w="120"/>
              <w:bottom w:type="dxa" w:w="80"/>
              <w:right w:type="dxa" w:w="120"/>
            </w:tcMar>
          </w:tcPr>
          <w:p>
            <w:r>
              <w:rPr>
                <w:rFonts w:ascii="Arial" w:cs="Arial" w:eastAsia="Arial" w:hAnsi="Arial"/>
                <w:color w:val="2C2C2C"/>
                <w:sz w:val="20"/>
                <w:szCs w:val="20"/>
              </w:rPr>
              <w:t xml:space="preserve">Financial Mindset for Spa Leaders</w:t>
            </w:r>
          </w:p>
        </w:tc>
      </w:tr>
    </w:tbl>
    <w:p>
      <w:pPr>
        <w:spacing w:after="200"/>
      </w:pPr>
    </w:p>
    <w:p>
      <w:r>
        <w:br w:type="page"/>
      </w:r>
    </w:p>
    <w:p>
      <w:pPr>
        <w:pStyle w:val="Heading1"/>
        <w:spacing w:after="120" w:before="360"/>
      </w:pPr>
      <w:r>
        <w:rPr>
          <w:rFonts w:ascii="Georgia" w:cs="Georgia" w:eastAsia="Georgia" w:hAnsi="Georgia"/>
          <w:b/>
          <w:bCs/>
          <w:color w:val="7C3A2E"/>
          <w:sz w:val="36"/>
          <w:szCs w:val="36"/>
        </w:rPr>
        <w:t xml:space="preserve">Lesson 1: Reading a P&amp;L Statement</w:t>
      </w:r>
    </w:p>
    <w:p>
      <w:pPr>
        <w:spacing w:after="160"/>
      </w:pPr>
      <w:r>
        <w:rPr>
          <w:rFonts w:ascii="Arial" w:cs="Arial" w:eastAsia="Arial" w:hAnsi="Arial"/>
          <w:color w:val="2C2C2C"/>
          <w:sz w:val="22"/>
          <w:szCs w:val="22"/>
        </w:rPr>
        <w:t xml:space="preserve">A Profit &amp; Loss statement tells the story of your spa's commercial performance. Revenue sits at the top: treatment income, retail sales, membership fees, and other income. Below that, your costs: labour (your biggest line), cost of goods (products consumed in treatments and retail), and overheads (utilities, maintenance, marketing, admin).</w:t>
      </w:r>
    </w:p>
    <w:p>
      <w:pPr>
        <w:spacing w:after="160"/>
      </w:pPr>
      <w:r>
        <w:rPr>
          <w:rFonts w:ascii="Arial" w:cs="Arial" w:eastAsia="Arial" w:hAnsi="Arial"/>
          <w:color w:val="2C2C2C"/>
          <w:sz w:val="22"/>
          <w:szCs w:val="22"/>
        </w:rPr>
        <w:t xml:space="preserve">GOP — Gross Operating Profit — is revenue minus all operating costs. It's your scorecard. A well-run spa should target a GOP margin of 25-35%, though this varies by market and model. Know your number. Track it monthly. Understand what drives it up and what drags it down.</w:t>
      </w:r>
    </w:p>
    <w:p>
      <w:pPr>
        <w:spacing w:after="160"/>
      </w:pPr>
      <w:r>
        <w:rPr>
          <w:rFonts w:ascii="Arial" w:cs="Arial" w:eastAsia="Arial" w:hAnsi="Arial"/>
          <w:color w:val="2C2C2C"/>
          <w:sz w:val="22"/>
          <w:szCs w:val="22"/>
        </w:rPr>
        <w:t xml:space="preserve">The relationship between revenue, cost, and profit is simple mathematics but complex management. A 5% increase in revenue with the same cost base dramatically improves profit. A 2% reduction in labour cost percentage can be worth more than a 10% revenue increase. Learn to think in margins, not just totals.</w:t>
      </w:r>
    </w:p>
    <w:p>
      <w:pPr>
        <w:spacing w:after="80"/>
      </w:pPr>
    </w:p>
    <w:p>
      <w:pPr>
        <w:shd w:fill="F0E8E6" w:val="clear"/>
        <w:spacing w:after="80" w:before="120"/>
        <w:ind w:left="120" w:right="120"/>
      </w:pPr>
      <w:r>
        <w:rPr>
          <w:rFonts w:ascii="Arial" w:cs="Arial" w:eastAsia="Arial" w:hAnsi="Arial"/>
          <w:b/>
          <w:bCs/>
          <w:color w:val="7C3A2E"/>
          <w:spacing w:val="80"/>
          <w:sz w:val="18"/>
          <w:szCs w:val="18"/>
        </w:rPr>
        <w:t xml:space="preserve">KEY POINTS</w:t>
      </w:r>
    </w:p>
    <w:p>
      <w:pPr>
        <w:pStyle w:val="ListParagraph"/>
        <w:numPr>
          <w:ilvl w:val="0"/>
          <w:numId w:val="2"/>
        </w:numPr>
        <w:spacing w:after="80"/>
      </w:pPr>
      <w:r>
        <w:rPr>
          <w:rFonts w:ascii="Arial" w:cs="Arial" w:eastAsia="Arial" w:hAnsi="Arial"/>
          <w:color w:val="2C2C2C"/>
          <w:sz w:val="21"/>
          <w:szCs w:val="21"/>
        </w:rPr>
        <w:t xml:space="preserve">Read revenue lines: treatment, retail, membership, other</w:t>
      </w:r>
    </w:p>
    <w:p>
      <w:pPr>
        <w:pStyle w:val="ListParagraph"/>
        <w:numPr>
          <w:ilvl w:val="0"/>
          <w:numId w:val="2"/>
        </w:numPr>
        <w:spacing w:after="80"/>
      </w:pPr>
      <w:r>
        <w:rPr>
          <w:rFonts w:ascii="Arial" w:cs="Arial" w:eastAsia="Arial" w:hAnsi="Arial"/>
          <w:color w:val="2C2C2C"/>
          <w:sz w:val="21"/>
          <w:szCs w:val="21"/>
        </w:rPr>
        <w:t xml:space="preserve">Understand cost categories: labour, COGS, overheads</w:t>
      </w:r>
    </w:p>
    <w:p>
      <w:pPr>
        <w:pStyle w:val="ListParagraph"/>
        <w:numPr>
          <w:ilvl w:val="0"/>
          <w:numId w:val="2"/>
        </w:numPr>
        <w:spacing w:after="80"/>
      </w:pPr>
      <w:r>
        <w:rPr>
          <w:rFonts w:ascii="Arial" w:cs="Arial" w:eastAsia="Arial" w:hAnsi="Arial"/>
          <w:color w:val="2C2C2C"/>
          <w:sz w:val="21"/>
          <w:szCs w:val="21"/>
        </w:rPr>
        <w:t xml:space="preserve">Calculate and benchmark your GOP margin</w:t>
      </w:r>
    </w:p>
    <w:p>
      <w:pPr>
        <w:pStyle w:val="ListParagraph"/>
        <w:numPr>
          <w:ilvl w:val="0"/>
          <w:numId w:val="2"/>
        </w:numPr>
        <w:spacing w:after="80"/>
      </w:pPr>
      <w:r>
        <w:rPr>
          <w:rFonts w:ascii="Arial" w:cs="Arial" w:eastAsia="Arial" w:hAnsi="Arial"/>
          <w:color w:val="2C2C2C"/>
          <w:sz w:val="21"/>
          <w:szCs w:val="21"/>
        </w:rPr>
        <w:t xml:space="preserve">Think in margins and percentages, not just totals</w:t>
      </w:r>
    </w:p>
    <w:p>
      <w:r>
        <w:br w:type="page"/>
      </w:r>
    </w:p>
    <w:p>
      <w:pPr>
        <w:pStyle w:val="Heading1"/>
        <w:spacing w:after="120" w:before="360"/>
      </w:pPr>
      <w:r>
        <w:rPr>
          <w:rFonts w:ascii="Georgia" w:cs="Georgia" w:eastAsia="Georgia" w:hAnsi="Georgia"/>
          <w:b/>
          <w:bCs/>
          <w:color w:val="7C3A2E"/>
          <w:sz w:val="36"/>
          <w:szCs w:val="36"/>
        </w:rPr>
        <w:t xml:space="preserve">Lesson 2: Financial Mindset for Spa Leaders</w:t>
      </w:r>
    </w:p>
    <w:p>
      <w:pPr>
        <w:spacing w:after="160"/>
      </w:pPr>
      <w:r>
        <w:rPr>
          <w:rFonts w:ascii="Arial" w:cs="Arial" w:eastAsia="Arial" w:hAnsi="Arial"/>
          <w:color w:val="2C2C2C"/>
          <w:sz w:val="22"/>
          <w:szCs w:val="22"/>
        </w:rPr>
        <w:t xml:space="preserve">Thinking commercially doesn't mean sacrificing guest experience. It means understanding that every decision has a financial consequence and learning to calculate it. Hiring an extra therapist costs X per month but generates Y in additional treatment revenue. Extending opening hours adds Z in labour but captures peak-time demand worth W.</w:t>
      </w:r>
    </w:p>
    <w:p>
      <w:pPr>
        <w:spacing w:after="160"/>
      </w:pPr>
      <w:r>
        <w:rPr>
          <w:rFonts w:ascii="Arial" w:cs="Arial" w:eastAsia="Arial" w:hAnsi="Arial"/>
          <w:color w:val="2C2C2C"/>
          <w:sz w:val="22"/>
          <w:szCs w:val="22"/>
        </w:rPr>
        <w:t xml:space="preserve">Your GM and finance team expect you to speak their language. Know your revenue per treatment hour, your labour cost percentage, your retail ratio, your average spend per guest. Present these numbers with confidence — not as data points, but as a story: here's where we are, here's why, here's what I'm doing about it.</w:t>
      </w:r>
    </w:p>
    <w:p>
      <w:pPr>
        <w:spacing w:after="80"/>
      </w:pPr>
    </w:p>
    <w:p>
      <w:pPr>
        <w:shd w:fill="F0E8E6" w:val="clear"/>
        <w:spacing w:after="80" w:before="120"/>
        <w:ind w:left="120" w:right="120"/>
      </w:pPr>
      <w:r>
        <w:rPr>
          <w:rFonts w:ascii="Arial" w:cs="Arial" w:eastAsia="Arial" w:hAnsi="Arial"/>
          <w:b/>
          <w:bCs/>
          <w:color w:val="7C3A2E"/>
          <w:spacing w:val="80"/>
          <w:sz w:val="18"/>
          <w:szCs w:val="18"/>
        </w:rPr>
        <w:t xml:space="preserve">KEY POINTS</w:t>
      </w:r>
    </w:p>
    <w:p>
      <w:pPr>
        <w:pStyle w:val="ListParagraph"/>
        <w:numPr>
          <w:ilvl w:val="0"/>
          <w:numId w:val="2"/>
        </w:numPr>
        <w:spacing w:after="80"/>
      </w:pPr>
      <w:r>
        <w:rPr>
          <w:rFonts w:ascii="Arial" w:cs="Arial" w:eastAsia="Arial" w:hAnsi="Arial"/>
          <w:color w:val="2C2C2C"/>
          <w:sz w:val="21"/>
          <w:szCs w:val="21"/>
        </w:rPr>
        <w:t xml:space="preserve">Connect every operational decision to its financial impact</w:t>
      </w:r>
    </w:p>
    <w:p>
      <w:pPr>
        <w:pStyle w:val="ListParagraph"/>
        <w:numPr>
          <w:ilvl w:val="0"/>
          <w:numId w:val="2"/>
        </w:numPr>
        <w:spacing w:after="80"/>
      </w:pPr>
      <w:r>
        <w:rPr>
          <w:rFonts w:ascii="Arial" w:cs="Arial" w:eastAsia="Arial" w:hAnsi="Arial"/>
          <w:color w:val="2C2C2C"/>
          <w:sz w:val="21"/>
          <w:szCs w:val="21"/>
        </w:rPr>
        <w:t xml:space="preserve">Learn the financial vocabulary your GM expects</w:t>
      </w:r>
    </w:p>
    <w:p>
      <w:pPr>
        <w:pStyle w:val="ListParagraph"/>
        <w:numPr>
          <w:ilvl w:val="0"/>
          <w:numId w:val="2"/>
        </w:numPr>
        <w:spacing w:after="80"/>
      </w:pPr>
      <w:r>
        <w:rPr>
          <w:rFonts w:ascii="Arial" w:cs="Arial" w:eastAsia="Arial" w:hAnsi="Arial"/>
          <w:color w:val="2C2C2C"/>
          <w:sz w:val="21"/>
          <w:szCs w:val="21"/>
        </w:rPr>
        <w:t xml:space="preserve">Present numbers as a narrative, not just data</w:t>
      </w:r>
    </w:p>
    <w:p>
      <w:pPr>
        <w:pStyle w:val="ListParagraph"/>
        <w:numPr>
          <w:ilvl w:val="0"/>
          <w:numId w:val="2"/>
        </w:numPr>
        <w:spacing w:after="80"/>
      </w:pPr>
      <w:r>
        <w:rPr>
          <w:rFonts w:ascii="Arial" w:cs="Arial" w:eastAsia="Arial" w:hAnsi="Arial"/>
          <w:color w:val="2C2C2C"/>
          <w:sz w:val="21"/>
          <w:szCs w:val="21"/>
        </w:rPr>
        <w:t xml:space="preserve">Balance commercial thinking with guest experience quality</w:t>
      </w:r>
    </w:p>
    <w:p>
      <w:r>
        <w:br w:type="page"/>
      </w:r>
    </w:p>
    <w:p>
      <w:pPr>
        <w:pStyle w:val="Heading1"/>
        <w:spacing w:after="120" w:before="360"/>
      </w:pPr>
      <w:r>
        <w:rPr>
          <w:rFonts w:ascii="Georgia" w:cs="Georgia" w:eastAsia="Georgia" w:hAnsi="Georgia"/>
          <w:b/>
          <w:bCs/>
          <w:color w:val="1A2332"/>
          <w:sz w:val="36"/>
          <w:szCs w:val="36"/>
        </w:rPr>
        <w:t xml:space="preserve">Key Concept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20"/>
        <w:gridCol w:w="8906"/>
      </w:tblGrid>
      <w:tr>
        <w:tc>
          <w:tcPr>
            <w:tcW w:type="dxa" w:w="120"/>
            <w:tcBorders>
              <w:top w:val="none" w:sz="0"/>
              <w:left w:val="none" w:sz="0"/>
              <w:bottom w:val="none" w:sz="0"/>
              <w:right w:val="none" w:sz="0"/>
            </w:tcBorders>
            <w:shd w:fill="B08D57" w:val="clear"/>
          </w:tcPr>
          <w:p/>
        </w:tc>
        <w:tc>
          <w:tcPr>
            <w:tcW w:type="dxa" w:w="8906"/>
            <w:tcBorders>
              <w:top w:val="none" w:sz="0"/>
              <w:left w:val="none" w:sz="0"/>
              <w:bottom w:val="none" w:sz="0"/>
              <w:right w:val="none" w:sz="0"/>
            </w:tcBorders>
            <w:shd w:fill="F5F0EB" w:val="clear"/>
            <w:tcMar>
              <w:top w:type="dxa" w:w="200"/>
              <w:left w:type="dxa" w:w="240"/>
              <w:bottom w:type="dxa" w:w="200"/>
              <w:right w:type="dxa" w:w="240"/>
            </w:tcMar>
          </w:tcPr>
          <w:p>
            <w:pPr>
              <w:spacing w:after="0"/>
            </w:pPr>
            <w:r>
              <w:rPr>
                <w:rFonts w:ascii="Georgia" w:cs="Georgia" w:eastAsia="Georgia" w:hAnsi="Georgia"/>
                <w:color w:val="1A2332"/>
                <w:sz w:val="26"/>
                <w:szCs w:val="26"/>
              </w:rPr>
              <w:t xml:space="preserve">“A spa manager who can read a P&amp;L and tell a story with the numbers is worth twice their salary.”</w:t>
            </w:r>
          </w:p>
        </w:tc>
      </w:tr>
    </w:tbl>
    <w:p>
      <w:pPr>
        <w:spacing w:after="300"/>
      </w:pPr>
    </w:p>
    <w:p>
      <w:pPr>
        <w:pStyle w:val="Heading1"/>
        <w:spacing w:after="120" w:before="360"/>
      </w:pPr>
      <w:r>
        <w:rPr>
          <w:rFonts w:ascii="Georgia" w:cs="Georgia" w:eastAsia="Georgia" w:hAnsi="Georgia"/>
          <w:b/>
          <w:bCs/>
          <w:color w:val="1A2332"/>
          <w:sz w:val="36"/>
          <w:szCs w:val="36"/>
        </w:rPr>
        <w:t xml:space="preserve">Practical Exercise</w:t>
      </w:r>
    </w:p>
    <w:p>
      <w:pPr>
        <w:spacing w:after="160"/>
      </w:pPr>
      <w:r>
        <w:rPr>
          <w:rFonts w:ascii="Arial" w:cs="Arial" w:eastAsia="Arial" w:hAnsi="Arial"/>
          <w:color w:val="2C2C2C"/>
          <w:sz w:val="22"/>
          <w:szCs w:val="22"/>
        </w:rPr>
        <w:t xml:space="preserve">Obtain your spa's P&amp;L (or use the example provided). Identify the top three revenue drivers and top three cost drivers. Calculate your GOP margin and compare it to industry benchmarks (25-35%). Prepare a five-minute verbal presentation of your spa's financial performance.</w:t>
      </w:r>
    </w:p>
    <w:p>
      <w:pPr>
        <w:spacing w:after="100"/>
      </w:pPr>
    </w:p>
    <w:p>
      <w:pPr>
        <w:spacing w:after="80"/>
      </w:pPr>
      <w:r>
        <w:rPr>
          <w:rFonts w:ascii="Arial" w:cs="Arial" w:eastAsia="Arial" w:hAnsi="Arial"/>
          <w:b/>
          <w:bCs/>
          <w:color w:val="6B7280"/>
          <w:spacing w:val="80"/>
          <w:sz w:val="18"/>
          <w:szCs w:val="18"/>
        </w:rPr>
        <w:t xml:space="preserve">YOUR NOTES</w:t>
      </w:r>
    </w:p>
    <w:p>
      <w:pPr>
        <w:pBdr>
          <w:bottom w:val="single" w:color="E5E1DC" w:sz="1" w:space="16"/>
        </w:pBdr>
        <w:spacing w:after="0"/>
      </w:pPr>
      <w:r>
        <w:rPr>
          <w:rFonts w:ascii="Arial" w:cs="Arial" w:eastAsia="Arial" w:hAnsi="Arial"/>
          <w:sz w:val="22"/>
          <w:szCs w:val="22"/>
        </w:rPr>
        <w:t xml:space="preserve"> </w:t>
      </w:r>
    </w:p>
    <w:p>
      <w:pPr>
        <w:pBdr>
          <w:bottom w:val="single" w:color="E5E1DC" w:sz="1" w:space="16"/>
        </w:pBdr>
        <w:spacing w:after="0"/>
      </w:pPr>
      <w:r>
        <w:rPr>
          <w:rFonts w:ascii="Arial" w:cs="Arial" w:eastAsia="Arial" w:hAnsi="Arial"/>
          <w:sz w:val="22"/>
          <w:szCs w:val="22"/>
        </w:rPr>
        <w:t xml:space="preserve"> </w:t>
      </w:r>
    </w:p>
    <w:p>
      <w:pPr>
        <w:pBdr>
          <w:bottom w:val="single" w:color="E5E1DC" w:sz="1" w:space="16"/>
        </w:pBdr>
        <w:spacing w:after="0"/>
      </w:pPr>
      <w:r>
        <w:rPr>
          <w:rFonts w:ascii="Arial" w:cs="Arial" w:eastAsia="Arial" w:hAnsi="Arial"/>
          <w:sz w:val="22"/>
          <w:szCs w:val="22"/>
        </w:rPr>
        <w:t xml:space="preserve"> </w:t>
      </w:r>
    </w:p>
    <w:p>
      <w:pPr>
        <w:pBdr>
          <w:bottom w:val="single" w:color="E5E1DC" w:sz="1" w:space="16"/>
        </w:pBdr>
        <w:spacing w:after="0"/>
      </w:pPr>
      <w:r>
        <w:rPr>
          <w:rFonts w:ascii="Arial" w:cs="Arial" w:eastAsia="Arial" w:hAnsi="Arial"/>
          <w:sz w:val="22"/>
          <w:szCs w:val="22"/>
        </w:rPr>
        <w:t xml:space="preserve"> </w:t>
      </w:r>
    </w:p>
    <w:p>
      <w:pPr>
        <w:pBdr>
          <w:bottom w:val="single" w:color="E5E1DC" w:sz="1" w:space="16"/>
        </w:pBdr>
        <w:spacing w:after="0"/>
      </w:pPr>
      <w:r>
        <w:rPr>
          <w:rFonts w:ascii="Arial" w:cs="Arial" w:eastAsia="Arial" w:hAnsi="Arial"/>
          <w:sz w:val="22"/>
          <w:szCs w:val="22"/>
        </w:rPr>
        <w:t xml:space="preserve"> </w:t>
      </w:r>
    </w:p>
    <w:p>
      <w:pPr>
        <w:pBdr>
          <w:bottom w:val="single" w:color="E5E1DC" w:sz="1" w:space="16"/>
        </w:pBdr>
        <w:spacing w:after="0"/>
      </w:pPr>
      <w:r>
        <w:rPr>
          <w:rFonts w:ascii="Arial" w:cs="Arial" w:eastAsia="Arial" w:hAnsi="Arial"/>
          <w:sz w:val="22"/>
          <w:szCs w:val="22"/>
        </w:rPr>
        <w:t xml:space="preserve"> </w:t>
      </w:r>
    </w:p>
    <w:p>
      <w:pPr>
        <w:pBdr>
          <w:bottom w:val="single" w:color="E5E1DC" w:sz="1" w:space="16"/>
        </w:pBdr>
        <w:spacing w:after="0"/>
      </w:pPr>
      <w:r>
        <w:rPr>
          <w:rFonts w:ascii="Arial" w:cs="Arial" w:eastAsia="Arial" w:hAnsi="Arial"/>
          <w:sz w:val="22"/>
          <w:szCs w:val="22"/>
        </w:rPr>
        <w:t xml:space="preserve"> </w:t>
      </w:r>
    </w:p>
    <w:p>
      <w:pPr>
        <w:pBdr>
          <w:bottom w:val="single" w:color="E5E1DC" w:sz="1" w:space="16"/>
        </w:pBdr>
        <w:spacing w:after="0"/>
      </w:pPr>
      <w:r>
        <w:rPr>
          <w:rFonts w:ascii="Arial" w:cs="Arial" w:eastAsia="Arial" w:hAnsi="Arial"/>
          <w:sz w:val="22"/>
          <w:szCs w:val="22"/>
        </w:rPr>
        <w:t xml:space="preserve"> </w:t>
      </w:r>
    </w:p>
    <w:p>
      <w:r>
        <w:br w:type="page"/>
      </w:r>
    </w:p>
    <w:p>
      <w:pPr>
        <w:pStyle w:val="Heading1"/>
        <w:spacing w:after="120" w:before="360"/>
      </w:pPr>
      <w:r>
        <w:rPr>
          <w:rFonts w:ascii="Georgia" w:cs="Georgia" w:eastAsia="Georgia" w:hAnsi="Georgia"/>
          <w:b/>
          <w:bCs/>
          <w:color w:val="1A2332"/>
          <w:sz w:val="36"/>
          <w:szCs w:val="36"/>
        </w:rPr>
        <w:t xml:space="preserve">Learning Outcomes</w:t>
      </w:r>
    </w:p>
    <w:p>
      <w:pPr>
        <w:spacing w:after="160"/>
      </w:pPr>
      <w:r>
        <w:rPr>
          <w:rFonts w:ascii="Arial" w:cs="Arial" w:eastAsia="Arial" w:hAnsi="Arial"/>
          <w:color w:val="6B7280"/>
          <w:sz w:val="22"/>
          <w:szCs w:val="22"/>
        </w:rPr>
        <w:t xml:space="preserve">By completing this module, you will be able to:</w:t>
      </w:r>
    </w:p>
    <w:p>
      <w:pPr>
        <w:spacing w:after="60"/>
      </w:pPr>
    </w:p>
    <w:p>
      <w:pPr>
        <w:pStyle w:val="ListParagraph"/>
        <w:numPr>
          <w:ilvl w:val="0"/>
          <w:numId w:val="3"/>
        </w:numPr>
        <w:spacing w:after="120"/>
      </w:pPr>
      <w:r>
        <w:rPr>
          <w:rFonts w:ascii="Arial" w:cs="Arial" w:eastAsia="Arial" w:hAnsi="Arial"/>
          <w:color w:val="2C2C2C"/>
          <w:sz w:val="22"/>
          <w:szCs w:val="22"/>
        </w:rPr>
        <w:t xml:space="preserve">Read and interpret a spa P&amp;L statement confidently</w:t>
      </w:r>
    </w:p>
    <w:p>
      <w:pPr>
        <w:pStyle w:val="ListParagraph"/>
        <w:numPr>
          <w:ilvl w:val="0"/>
          <w:numId w:val="3"/>
        </w:numPr>
        <w:spacing w:after="120"/>
      </w:pPr>
      <w:r>
        <w:rPr>
          <w:rFonts w:ascii="Arial" w:cs="Arial" w:eastAsia="Arial" w:hAnsi="Arial"/>
          <w:color w:val="2C2C2C"/>
          <w:sz w:val="22"/>
          <w:szCs w:val="22"/>
        </w:rPr>
        <w:t xml:space="preserve">Identify key revenue and cost drivers in your operation</w:t>
      </w:r>
    </w:p>
    <w:p>
      <w:pPr>
        <w:pStyle w:val="ListParagraph"/>
        <w:numPr>
          <w:ilvl w:val="0"/>
          <w:numId w:val="3"/>
        </w:numPr>
        <w:spacing w:after="120"/>
      </w:pPr>
      <w:r>
        <w:rPr>
          <w:rFonts w:ascii="Arial" w:cs="Arial" w:eastAsia="Arial" w:hAnsi="Arial"/>
          <w:color w:val="2C2C2C"/>
          <w:sz w:val="22"/>
          <w:szCs w:val="22"/>
        </w:rPr>
        <w:t xml:space="preserve">Calculate and benchmark GOP margin</w:t>
      </w:r>
    </w:p>
    <w:p>
      <w:pPr>
        <w:pStyle w:val="ListParagraph"/>
        <w:numPr>
          <w:ilvl w:val="0"/>
          <w:numId w:val="3"/>
        </w:numPr>
        <w:spacing w:after="120"/>
      </w:pPr>
      <w:r>
        <w:rPr>
          <w:rFonts w:ascii="Arial" w:cs="Arial" w:eastAsia="Arial" w:hAnsi="Arial"/>
          <w:color w:val="2C2C2C"/>
          <w:sz w:val="22"/>
          <w:szCs w:val="22"/>
        </w:rPr>
        <w:t xml:space="preserve">Present financial performance to senior stakeholders</w:t>
      </w:r>
    </w:p>
    <w:p>
      <w:pPr>
        <w:spacing w:after="200"/>
      </w:pPr>
    </w:p>
    <w:p>
      <w:pPr>
        <w:spacing w:after="80"/>
      </w:pPr>
      <w:r>
        <w:rPr>
          <w:rFonts w:ascii="Arial" w:cs="Arial" w:eastAsia="Arial" w:hAnsi="Arial"/>
          <w:b/>
          <w:bCs/>
          <w:color w:val="7C3A2E"/>
          <w:spacing w:val="80"/>
          <w:sz w:val="18"/>
          <w:szCs w:val="18"/>
        </w:rPr>
        <w:t xml:space="preserve">SELF-ASSESSMENT</w:t>
      </w:r>
    </w:p>
    <w:p>
      <w:pPr>
        <w:spacing w:after="160"/>
      </w:pPr>
      <w:r>
        <w:rPr>
          <w:rFonts w:ascii="Arial" w:cs="Arial" w:eastAsia="Arial" w:hAnsi="Arial"/>
          <w:color w:val="6B7280"/>
          <w:sz w:val="20"/>
          <w:szCs w:val="20"/>
        </w:rPr>
        <w:t xml:space="preserve">Rate your confidence in each outcome (1 = Not yet confident, 5 = Fully confident):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826"/>
        <w:gridCol w:w="640"/>
        <w:gridCol w:w="640"/>
        <w:gridCol w:w="640"/>
        <w:gridCol w:w="640"/>
        <w:gridCol w:w="640"/>
      </w:tblGrid>
      <w:tr>
        <w:tc>
          <w:tcPr>
            <w:tcW w:type="dxa" w:w="5826"/>
            <w:tcBorders>
              <w:top w:val="single" w:color="D5D5D5" w:sz="1"/>
              <w:left w:val="single" w:color="D5D5D5" w:sz="1"/>
              <w:bottom w:val="single" w:color="D5D5D5" w:sz="1"/>
              <w:right w:val="single" w:color="D5D5D5" w:sz="1"/>
            </w:tcBorders>
            <w:shd w:fill="7C3A2E" w:val="clear"/>
            <w:tcMar>
              <w:top w:type="dxa" w:w="60"/>
              <w:left w:type="dxa" w:w="120"/>
              <w:bottom w:type="dxa" w:w="60"/>
              <w:right w:type="dxa" w:w="120"/>
            </w:tcMar>
          </w:tcPr>
          <w:p>
            <w:r>
              <w:rPr>
                <w:rFonts w:ascii="Arial" w:cs="Arial" w:eastAsia="Arial" w:hAnsi="Arial"/>
                <w:b/>
                <w:bCs/>
                <w:color w:val="FFFFFF"/>
                <w:sz w:val="18"/>
                <w:szCs w:val="18"/>
              </w:rPr>
              <w:t xml:space="preserve">Outcome</w:t>
            </w:r>
          </w:p>
        </w:tc>
        <w:tc>
          <w:tcPr>
            <w:tcW w:type="dxa" w:w="640"/>
            <w:tcBorders>
              <w:top w:val="single" w:color="D5D5D5" w:sz="1"/>
              <w:left w:val="single" w:color="D5D5D5" w:sz="1"/>
              <w:bottom w:val="single" w:color="D5D5D5" w:sz="1"/>
              <w:right w:val="single" w:color="D5D5D5" w:sz="1"/>
            </w:tcBorders>
            <w:shd w:fill="7C3A2E" w:val="clear"/>
            <w:tcMar>
              <w:top w:type="dxa" w:w="60"/>
              <w:left w:type="dxa" w:w="40"/>
              <w:bottom w:type="dxa" w:w="60"/>
              <w:right w:type="dxa" w:w="40"/>
            </w:tcMar>
          </w:tcPr>
          <w:p>
            <w:pPr>
              <w:jc w:val="center"/>
            </w:pPr>
            <w:r>
              <w:rPr>
                <w:rFonts w:ascii="Arial" w:cs="Arial" w:eastAsia="Arial" w:hAnsi="Arial"/>
                <w:b/>
                <w:bCs/>
                <w:color w:val="FFFFFF"/>
                <w:sz w:val="18"/>
                <w:szCs w:val="18"/>
              </w:rPr>
              <w:t xml:space="preserve">1</w:t>
            </w:r>
          </w:p>
        </w:tc>
        <w:tc>
          <w:tcPr>
            <w:tcW w:type="dxa" w:w="640"/>
            <w:tcBorders>
              <w:top w:val="single" w:color="D5D5D5" w:sz="1"/>
              <w:left w:val="single" w:color="D5D5D5" w:sz="1"/>
              <w:bottom w:val="single" w:color="D5D5D5" w:sz="1"/>
              <w:right w:val="single" w:color="D5D5D5" w:sz="1"/>
            </w:tcBorders>
            <w:shd w:fill="7C3A2E" w:val="clear"/>
            <w:tcMar>
              <w:top w:type="dxa" w:w="60"/>
              <w:left w:type="dxa" w:w="40"/>
              <w:bottom w:type="dxa" w:w="60"/>
              <w:right w:type="dxa" w:w="40"/>
            </w:tcMar>
          </w:tcPr>
          <w:p>
            <w:pPr>
              <w:jc w:val="center"/>
            </w:pPr>
            <w:r>
              <w:rPr>
                <w:rFonts w:ascii="Arial" w:cs="Arial" w:eastAsia="Arial" w:hAnsi="Arial"/>
                <w:b/>
                <w:bCs/>
                <w:color w:val="FFFFFF"/>
                <w:sz w:val="18"/>
                <w:szCs w:val="18"/>
              </w:rPr>
              <w:t xml:space="preserve">2</w:t>
            </w:r>
          </w:p>
        </w:tc>
        <w:tc>
          <w:tcPr>
            <w:tcW w:type="dxa" w:w="640"/>
            <w:tcBorders>
              <w:top w:val="single" w:color="D5D5D5" w:sz="1"/>
              <w:left w:val="single" w:color="D5D5D5" w:sz="1"/>
              <w:bottom w:val="single" w:color="D5D5D5" w:sz="1"/>
              <w:right w:val="single" w:color="D5D5D5" w:sz="1"/>
            </w:tcBorders>
            <w:shd w:fill="7C3A2E" w:val="clear"/>
            <w:tcMar>
              <w:top w:type="dxa" w:w="60"/>
              <w:left w:type="dxa" w:w="40"/>
              <w:bottom w:type="dxa" w:w="60"/>
              <w:right w:type="dxa" w:w="40"/>
            </w:tcMar>
          </w:tcPr>
          <w:p>
            <w:pPr>
              <w:jc w:val="center"/>
            </w:pPr>
            <w:r>
              <w:rPr>
                <w:rFonts w:ascii="Arial" w:cs="Arial" w:eastAsia="Arial" w:hAnsi="Arial"/>
                <w:b/>
                <w:bCs/>
                <w:color w:val="FFFFFF"/>
                <w:sz w:val="18"/>
                <w:szCs w:val="18"/>
              </w:rPr>
              <w:t xml:space="preserve">3</w:t>
            </w:r>
          </w:p>
        </w:tc>
        <w:tc>
          <w:tcPr>
            <w:tcW w:type="dxa" w:w="640"/>
            <w:tcBorders>
              <w:top w:val="single" w:color="D5D5D5" w:sz="1"/>
              <w:left w:val="single" w:color="D5D5D5" w:sz="1"/>
              <w:bottom w:val="single" w:color="D5D5D5" w:sz="1"/>
              <w:right w:val="single" w:color="D5D5D5" w:sz="1"/>
            </w:tcBorders>
            <w:shd w:fill="7C3A2E" w:val="clear"/>
            <w:tcMar>
              <w:top w:type="dxa" w:w="60"/>
              <w:left w:type="dxa" w:w="40"/>
              <w:bottom w:type="dxa" w:w="60"/>
              <w:right w:type="dxa" w:w="40"/>
            </w:tcMar>
          </w:tcPr>
          <w:p>
            <w:pPr>
              <w:jc w:val="center"/>
            </w:pPr>
            <w:r>
              <w:rPr>
                <w:rFonts w:ascii="Arial" w:cs="Arial" w:eastAsia="Arial" w:hAnsi="Arial"/>
                <w:b/>
                <w:bCs/>
                <w:color w:val="FFFFFF"/>
                <w:sz w:val="18"/>
                <w:szCs w:val="18"/>
              </w:rPr>
              <w:t xml:space="preserve">4</w:t>
            </w:r>
          </w:p>
        </w:tc>
        <w:tc>
          <w:tcPr>
            <w:tcW w:type="dxa" w:w="640"/>
            <w:tcBorders>
              <w:top w:val="single" w:color="D5D5D5" w:sz="1"/>
              <w:left w:val="single" w:color="D5D5D5" w:sz="1"/>
              <w:bottom w:val="single" w:color="D5D5D5" w:sz="1"/>
              <w:right w:val="single" w:color="D5D5D5" w:sz="1"/>
            </w:tcBorders>
            <w:shd w:fill="7C3A2E" w:val="clear"/>
            <w:tcMar>
              <w:top w:type="dxa" w:w="60"/>
              <w:left w:type="dxa" w:w="40"/>
              <w:bottom w:type="dxa" w:w="60"/>
              <w:right w:type="dxa" w:w="40"/>
            </w:tcMar>
          </w:tcPr>
          <w:p>
            <w:pPr>
              <w:jc w:val="center"/>
            </w:pPr>
            <w:r>
              <w:rPr>
                <w:rFonts w:ascii="Arial" w:cs="Arial" w:eastAsia="Arial" w:hAnsi="Arial"/>
                <w:b/>
                <w:bCs/>
                <w:color w:val="FFFFFF"/>
                <w:sz w:val="18"/>
                <w:szCs w:val="18"/>
              </w:rPr>
              <w:t xml:space="preserve">5</w:t>
            </w:r>
          </w:p>
        </w:tc>
      </w:tr>
      <w:tr>
        <w:tc>
          <w:tcPr>
            <w:tcW w:type="dxa" w:w="5826"/>
            <w:tcBorders>
              <w:top w:val="single" w:color="D5D5D5" w:sz="1"/>
              <w:left w:val="single" w:color="D5D5D5" w:sz="1"/>
              <w:bottom w:val="single" w:color="D5D5D5" w:sz="1"/>
              <w:right w:val="single" w:color="D5D5D5" w:sz="1"/>
            </w:tcBorders>
            <w:shd w:fill="F0E8E6" w:val="clear"/>
            <w:tcMar>
              <w:top w:type="dxa" w:w="60"/>
              <w:left w:type="dxa" w:w="120"/>
              <w:bottom w:type="dxa" w:w="60"/>
              <w:right w:type="dxa" w:w="120"/>
            </w:tcMar>
          </w:tcPr>
          <w:p>
            <w:r>
              <w:rPr>
                <w:rFonts w:ascii="Arial" w:cs="Arial" w:eastAsia="Arial" w:hAnsi="Arial"/>
                <w:color w:val="2C2C2C"/>
                <w:sz w:val="18"/>
                <w:szCs w:val="18"/>
              </w:rPr>
              <w:t xml:space="preserve">Read and interpret a spa P&amp;L statement confidently</w:t>
            </w:r>
          </w:p>
        </w:tc>
        <w:tc>
          <w:tcPr>
            <w:tcW w:type="dxa" w:w="640"/>
            <w:tcBorders>
              <w:top w:val="single" w:color="D5D5D5" w:sz="1"/>
              <w:left w:val="single" w:color="D5D5D5" w:sz="1"/>
              <w:bottom w:val="single" w:color="D5D5D5" w:sz="1"/>
              <w:right w:val="single" w:color="D5D5D5" w:sz="1"/>
            </w:tcBorders>
            <w:shd w:fill="F0E8E6" w:val="clear"/>
          </w:tcPr>
          <w:p>
            <w:pPr>
              <w:jc w:val="center"/>
            </w:pPr>
            <w:r>
              <w:rPr>
                <w:sz w:val="18"/>
                <w:szCs w:val="18"/>
              </w:rPr>
              <w:t xml:space="preserve"> </w:t>
            </w:r>
          </w:p>
        </w:tc>
        <w:tc>
          <w:tcPr>
            <w:tcW w:type="dxa" w:w="640"/>
            <w:tcBorders>
              <w:top w:val="single" w:color="D5D5D5" w:sz="1"/>
              <w:left w:val="single" w:color="D5D5D5" w:sz="1"/>
              <w:bottom w:val="single" w:color="D5D5D5" w:sz="1"/>
              <w:right w:val="single" w:color="D5D5D5" w:sz="1"/>
            </w:tcBorders>
            <w:shd w:fill="F0E8E6" w:val="clear"/>
          </w:tcPr>
          <w:p>
            <w:pPr>
              <w:jc w:val="center"/>
            </w:pPr>
            <w:r>
              <w:rPr>
                <w:sz w:val="18"/>
                <w:szCs w:val="18"/>
              </w:rPr>
              <w:t xml:space="preserve"> </w:t>
            </w:r>
          </w:p>
        </w:tc>
        <w:tc>
          <w:tcPr>
            <w:tcW w:type="dxa" w:w="640"/>
            <w:tcBorders>
              <w:top w:val="single" w:color="D5D5D5" w:sz="1"/>
              <w:left w:val="single" w:color="D5D5D5" w:sz="1"/>
              <w:bottom w:val="single" w:color="D5D5D5" w:sz="1"/>
              <w:right w:val="single" w:color="D5D5D5" w:sz="1"/>
            </w:tcBorders>
            <w:shd w:fill="F0E8E6" w:val="clear"/>
          </w:tcPr>
          <w:p>
            <w:pPr>
              <w:jc w:val="center"/>
            </w:pPr>
            <w:r>
              <w:rPr>
                <w:sz w:val="18"/>
                <w:szCs w:val="18"/>
              </w:rPr>
              <w:t xml:space="preserve"> </w:t>
            </w:r>
          </w:p>
        </w:tc>
        <w:tc>
          <w:tcPr>
            <w:tcW w:type="dxa" w:w="640"/>
            <w:tcBorders>
              <w:top w:val="single" w:color="D5D5D5" w:sz="1"/>
              <w:left w:val="single" w:color="D5D5D5" w:sz="1"/>
              <w:bottom w:val="single" w:color="D5D5D5" w:sz="1"/>
              <w:right w:val="single" w:color="D5D5D5" w:sz="1"/>
            </w:tcBorders>
            <w:shd w:fill="F0E8E6" w:val="clear"/>
          </w:tcPr>
          <w:p>
            <w:pPr>
              <w:jc w:val="center"/>
            </w:pPr>
            <w:r>
              <w:rPr>
                <w:sz w:val="18"/>
                <w:szCs w:val="18"/>
              </w:rPr>
              <w:t xml:space="preserve"> </w:t>
            </w:r>
          </w:p>
        </w:tc>
        <w:tc>
          <w:tcPr>
            <w:tcW w:type="dxa" w:w="640"/>
            <w:tcBorders>
              <w:top w:val="single" w:color="D5D5D5" w:sz="1"/>
              <w:left w:val="single" w:color="D5D5D5" w:sz="1"/>
              <w:bottom w:val="single" w:color="D5D5D5" w:sz="1"/>
              <w:right w:val="single" w:color="D5D5D5" w:sz="1"/>
            </w:tcBorders>
            <w:shd w:fill="F0E8E6" w:val="clear"/>
          </w:tcPr>
          <w:p>
            <w:pPr>
              <w:jc w:val="center"/>
            </w:pPr>
            <w:r>
              <w:rPr>
                <w:sz w:val="18"/>
                <w:szCs w:val="18"/>
              </w:rPr>
              <w:t xml:space="preserve"> </w:t>
            </w:r>
          </w:p>
        </w:tc>
      </w:tr>
      <w:tr>
        <w:tc>
          <w:tcPr>
            <w:tcW w:type="dxa" w:w="5826"/>
            <w:tcBorders>
              <w:top w:val="single" w:color="D5D5D5" w:sz="1"/>
              <w:left w:val="single" w:color="D5D5D5" w:sz="1"/>
              <w:bottom w:val="single" w:color="D5D5D5" w:sz="1"/>
              <w:right w:val="single" w:color="D5D5D5" w:sz="1"/>
            </w:tcBorders>
            <w:shd w:fill="FFFFFF" w:val="clear"/>
            <w:tcMar>
              <w:top w:type="dxa" w:w="60"/>
              <w:left w:type="dxa" w:w="120"/>
              <w:bottom w:type="dxa" w:w="60"/>
              <w:right w:type="dxa" w:w="120"/>
            </w:tcMar>
          </w:tcPr>
          <w:p>
            <w:r>
              <w:rPr>
                <w:rFonts w:ascii="Arial" w:cs="Arial" w:eastAsia="Arial" w:hAnsi="Arial"/>
                <w:color w:val="2C2C2C"/>
                <w:sz w:val="18"/>
                <w:szCs w:val="18"/>
              </w:rPr>
              <w:t xml:space="preserve">Identify key revenue and cost drivers in your operation</w:t>
            </w:r>
          </w:p>
        </w:tc>
        <w:tc>
          <w:tcPr>
            <w:tcW w:type="dxa" w:w="640"/>
            <w:tcBorders>
              <w:top w:val="single" w:color="D5D5D5" w:sz="1"/>
              <w:left w:val="single" w:color="D5D5D5" w:sz="1"/>
              <w:bottom w:val="single" w:color="D5D5D5" w:sz="1"/>
              <w:right w:val="single" w:color="D5D5D5" w:sz="1"/>
            </w:tcBorders>
            <w:shd w:fill="FFFFFF" w:val="clear"/>
          </w:tcPr>
          <w:p>
            <w:pPr>
              <w:jc w:val="center"/>
            </w:pPr>
            <w:r>
              <w:rPr>
                <w:sz w:val="18"/>
                <w:szCs w:val="18"/>
              </w:rPr>
              <w:t xml:space="preserve"> </w:t>
            </w:r>
          </w:p>
        </w:tc>
        <w:tc>
          <w:tcPr>
            <w:tcW w:type="dxa" w:w="640"/>
            <w:tcBorders>
              <w:top w:val="single" w:color="D5D5D5" w:sz="1"/>
              <w:left w:val="single" w:color="D5D5D5" w:sz="1"/>
              <w:bottom w:val="single" w:color="D5D5D5" w:sz="1"/>
              <w:right w:val="single" w:color="D5D5D5" w:sz="1"/>
            </w:tcBorders>
            <w:shd w:fill="FFFFFF" w:val="clear"/>
          </w:tcPr>
          <w:p>
            <w:pPr>
              <w:jc w:val="center"/>
            </w:pPr>
            <w:r>
              <w:rPr>
                <w:sz w:val="18"/>
                <w:szCs w:val="18"/>
              </w:rPr>
              <w:t xml:space="preserve"> </w:t>
            </w:r>
          </w:p>
        </w:tc>
        <w:tc>
          <w:tcPr>
            <w:tcW w:type="dxa" w:w="640"/>
            <w:tcBorders>
              <w:top w:val="single" w:color="D5D5D5" w:sz="1"/>
              <w:left w:val="single" w:color="D5D5D5" w:sz="1"/>
              <w:bottom w:val="single" w:color="D5D5D5" w:sz="1"/>
              <w:right w:val="single" w:color="D5D5D5" w:sz="1"/>
            </w:tcBorders>
            <w:shd w:fill="FFFFFF" w:val="clear"/>
          </w:tcPr>
          <w:p>
            <w:pPr>
              <w:jc w:val="center"/>
            </w:pPr>
            <w:r>
              <w:rPr>
                <w:sz w:val="18"/>
                <w:szCs w:val="18"/>
              </w:rPr>
              <w:t xml:space="preserve"> </w:t>
            </w:r>
          </w:p>
        </w:tc>
        <w:tc>
          <w:tcPr>
            <w:tcW w:type="dxa" w:w="640"/>
            <w:tcBorders>
              <w:top w:val="single" w:color="D5D5D5" w:sz="1"/>
              <w:left w:val="single" w:color="D5D5D5" w:sz="1"/>
              <w:bottom w:val="single" w:color="D5D5D5" w:sz="1"/>
              <w:right w:val="single" w:color="D5D5D5" w:sz="1"/>
            </w:tcBorders>
            <w:shd w:fill="FFFFFF" w:val="clear"/>
          </w:tcPr>
          <w:p>
            <w:pPr>
              <w:jc w:val="center"/>
            </w:pPr>
            <w:r>
              <w:rPr>
                <w:sz w:val="18"/>
                <w:szCs w:val="18"/>
              </w:rPr>
              <w:t xml:space="preserve"> </w:t>
            </w:r>
          </w:p>
        </w:tc>
        <w:tc>
          <w:tcPr>
            <w:tcW w:type="dxa" w:w="640"/>
            <w:tcBorders>
              <w:top w:val="single" w:color="D5D5D5" w:sz="1"/>
              <w:left w:val="single" w:color="D5D5D5" w:sz="1"/>
              <w:bottom w:val="single" w:color="D5D5D5" w:sz="1"/>
              <w:right w:val="single" w:color="D5D5D5" w:sz="1"/>
            </w:tcBorders>
            <w:shd w:fill="FFFFFF" w:val="clear"/>
          </w:tcPr>
          <w:p>
            <w:pPr>
              <w:jc w:val="center"/>
            </w:pPr>
            <w:r>
              <w:rPr>
                <w:sz w:val="18"/>
                <w:szCs w:val="18"/>
              </w:rPr>
              <w:t xml:space="preserve"> </w:t>
            </w:r>
          </w:p>
        </w:tc>
      </w:tr>
      <w:tr>
        <w:tc>
          <w:tcPr>
            <w:tcW w:type="dxa" w:w="5826"/>
            <w:tcBorders>
              <w:top w:val="single" w:color="D5D5D5" w:sz="1"/>
              <w:left w:val="single" w:color="D5D5D5" w:sz="1"/>
              <w:bottom w:val="single" w:color="D5D5D5" w:sz="1"/>
              <w:right w:val="single" w:color="D5D5D5" w:sz="1"/>
            </w:tcBorders>
            <w:shd w:fill="F0E8E6" w:val="clear"/>
            <w:tcMar>
              <w:top w:type="dxa" w:w="60"/>
              <w:left w:type="dxa" w:w="120"/>
              <w:bottom w:type="dxa" w:w="60"/>
              <w:right w:type="dxa" w:w="120"/>
            </w:tcMar>
          </w:tcPr>
          <w:p>
            <w:r>
              <w:rPr>
                <w:rFonts w:ascii="Arial" w:cs="Arial" w:eastAsia="Arial" w:hAnsi="Arial"/>
                <w:color w:val="2C2C2C"/>
                <w:sz w:val="18"/>
                <w:szCs w:val="18"/>
              </w:rPr>
              <w:t xml:space="preserve">Calculate and benchmark GOP margin</w:t>
            </w:r>
          </w:p>
        </w:tc>
        <w:tc>
          <w:tcPr>
            <w:tcW w:type="dxa" w:w="640"/>
            <w:tcBorders>
              <w:top w:val="single" w:color="D5D5D5" w:sz="1"/>
              <w:left w:val="single" w:color="D5D5D5" w:sz="1"/>
              <w:bottom w:val="single" w:color="D5D5D5" w:sz="1"/>
              <w:right w:val="single" w:color="D5D5D5" w:sz="1"/>
            </w:tcBorders>
            <w:shd w:fill="F0E8E6" w:val="clear"/>
          </w:tcPr>
          <w:p>
            <w:pPr>
              <w:jc w:val="center"/>
            </w:pPr>
            <w:r>
              <w:rPr>
                <w:sz w:val="18"/>
                <w:szCs w:val="18"/>
              </w:rPr>
              <w:t xml:space="preserve"> </w:t>
            </w:r>
          </w:p>
        </w:tc>
        <w:tc>
          <w:tcPr>
            <w:tcW w:type="dxa" w:w="640"/>
            <w:tcBorders>
              <w:top w:val="single" w:color="D5D5D5" w:sz="1"/>
              <w:left w:val="single" w:color="D5D5D5" w:sz="1"/>
              <w:bottom w:val="single" w:color="D5D5D5" w:sz="1"/>
              <w:right w:val="single" w:color="D5D5D5" w:sz="1"/>
            </w:tcBorders>
            <w:shd w:fill="F0E8E6" w:val="clear"/>
          </w:tcPr>
          <w:p>
            <w:pPr>
              <w:jc w:val="center"/>
            </w:pPr>
            <w:r>
              <w:rPr>
                <w:sz w:val="18"/>
                <w:szCs w:val="18"/>
              </w:rPr>
              <w:t xml:space="preserve"> </w:t>
            </w:r>
          </w:p>
        </w:tc>
        <w:tc>
          <w:tcPr>
            <w:tcW w:type="dxa" w:w="640"/>
            <w:tcBorders>
              <w:top w:val="single" w:color="D5D5D5" w:sz="1"/>
              <w:left w:val="single" w:color="D5D5D5" w:sz="1"/>
              <w:bottom w:val="single" w:color="D5D5D5" w:sz="1"/>
              <w:right w:val="single" w:color="D5D5D5" w:sz="1"/>
            </w:tcBorders>
            <w:shd w:fill="F0E8E6" w:val="clear"/>
          </w:tcPr>
          <w:p>
            <w:pPr>
              <w:jc w:val="center"/>
            </w:pPr>
            <w:r>
              <w:rPr>
                <w:sz w:val="18"/>
                <w:szCs w:val="18"/>
              </w:rPr>
              <w:t xml:space="preserve"> </w:t>
            </w:r>
          </w:p>
        </w:tc>
        <w:tc>
          <w:tcPr>
            <w:tcW w:type="dxa" w:w="640"/>
            <w:tcBorders>
              <w:top w:val="single" w:color="D5D5D5" w:sz="1"/>
              <w:left w:val="single" w:color="D5D5D5" w:sz="1"/>
              <w:bottom w:val="single" w:color="D5D5D5" w:sz="1"/>
              <w:right w:val="single" w:color="D5D5D5" w:sz="1"/>
            </w:tcBorders>
            <w:shd w:fill="F0E8E6" w:val="clear"/>
          </w:tcPr>
          <w:p>
            <w:pPr>
              <w:jc w:val="center"/>
            </w:pPr>
            <w:r>
              <w:rPr>
                <w:sz w:val="18"/>
                <w:szCs w:val="18"/>
              </w:rPr>
              <w:t xml:space="preserve"> </w:t>
            </w:r>
          </w:p>
        </w:tc>
        <w:tc>
          <w:tcPr>
            <w:tcW w:type="dxa" w:w="640"/>
            <w:tcBorders>
              <w:top w:val="single" w:color="D5D5D5" w:sz="1"/>
              <w:left w:val="single" w:color="D5D5D5" w:sz="1"/>
              <w:bottom w:val="single" w:color="D5D5D5" w:sz="1"/>
              <w:right w:val="single" w:color="D5D5D5" w:sz="1"/>
            </w:tcBorders>
            <w:shd w:fill="F0E8E6" w:val="clear"/>
          </w:tcPr>
          <w:p>
            <w:pPr>
              <w:jc w:val="center"/>
            </w:pPr>
            <w:r>
              <w:rPr>
                <w:sz w:val="18"/>
                <w:szCs w:val="18"/>
              </w:rPr>
              <w:t xml:space="preserve"> </w:t>
            </w:r>
          </w:p>
        </w:tc>
      </w:tr>
      <w:tr>
        <w:tc>
          <w:tcPr>
            <w:tcW w:type="dxa" w:w="5826"/>
            <w:tcBorders>
              <w:top w:val="single" w:color="D5D5D5" w:sz="1"/>
              <w:left w:val="single" w:color="D5D5D5" w:sz="1"/>
              <w:bottom w:val="single" w:color="D5D5D5" w:sz="1"/>
              <w:right w:val="single" w:color="D5D5D5" w:sz="1"/>
            </w:tcBorders>
            <w:shd w:fill="FFFFFF" w:val="clear"/>
            <w:tcMar>
              <w:top w:type="dxa" w:w="60"/>
              <w:left w:type="dxa" w:w="120"/>
              <w:bottom w:type="dxa" w:w="60"/>
              <w:right w:type="dxa" w:w="120"/>
            </w:tcMar>
          </w:tcPr>
          <w:p>
            <w:r>
              <w:rPr>
                <w:rFonts w:ascii="Arial" w:cs="Arial" w:eastAsia="Arial" w:hAnsi="Arial"/>
                <w:color w:val="2C2C2C"/>
                <w:sz w:val="18"/>
                <w:szCs w:val="18"/>
              </w:rPr>
              <w:t xml:space="preserve">Present financial performance to senior stakeholders</w:t>
            </w:r>
          </w:p>
        </w:tc>
        <w:tc>
          <w:tcPr>
            <w:tcW w:type="dxa" w:w="640"/>
            <w:tcBorders>
              <w:top w:val="single" w:color="D5D5D5" w:sz="1"/>
              <w:left w:val="single" w:color="D5D5D5" w:sz="1"/>
              <w:bottom w:val="single" w:color="D5D5D5" w:sz="1"/>
              <w:right w:val="single" w:color="D5D5D5" w:sz="1"/>
            </w:tcBorders>
            <w:shd w:fill="FFFFFF" w:val="clear"/>
          </w:tcPr>
          <w:p>
            <w:pPr>
              <w:jc w:val="center"/>
            </w:pPr>
            <w:r>
              <w:rPr>
                <w:sz w:val="18"/>
                <w:szCs w:val="18"/>
              </w:rPr>
              <w:t xml:space="preserve"> </w:t>
            </w:r>
          </w:p>
        </w:tc>
        <w:tc>
          <w:tcPr>
            <w:tcW w:type="dxa" w:w="640"/>
            <w:tcBorders>
              <w:top w:val="single" w:color="D5D5D5" w:sz="1"/>
              <w:left w:val="single" w:color="D5D5D5" w:sz="1"/>
              <w:bottom w:val="single" w:color="D5D5D5" w:sz="1"/>
              <w:right w:val="single" w:color="D5D5D5" w:sz="1"/>
            </w:tcBorders>
            <w:shd w:fill="FFFFFF" w:val="clear"/>
          </w:tcPr>
          <w:p>
            <w:pPr>
              <w:jc w:val="center"/>
            </w:pPr>
            <w:r>
              <w:rPr>
                <w:sz w:val="18"/>
                <w:szCs w:val="18"/>
              </w:rPr>
              <w:t xml:space="preserve"> </w:t>
            </w:r>
          </w:p>
        </w:tc>
        <w:tc>
          <w:tcPr>
            <w:tcW w:type="dxa" w:w="640"/>
            <w:tcBorders>
              <w:top w:val="single" w:color="D5D5D5" w:sz="1"/>
              <w:left w:val="single" w:color="D5D5D5" w:sz="1"/>
              <w:bottom w:val="single" w:color="D5D5D5" w:sz="1"/>
              <w:right w:val="single" w:color="D5D5D5" w:sz="1"/>
            </w:tcBorders>
            <w:shd w:fill="FFFFFF" w:val="clear"/>
          </w:tcPr>
          <w:p>
            <w:pPr>
              <w:jc w:val="center"/>
            </w:pPr>
            <w:r>
              <w:rPr>
                <w:sz w:val="18"/>
                <w:szCs w:val="18"/>
              </w:rPr>
              <w:t xml:space="preserve"> </w:t>
            </w:r>
          </w:p>
        </w:tc>
        <w:tc>
          <w:tcPr>
            <w:tcW w:type="dxa" w:w="640"/>
            <w:tcBorders>
              <w:top w:val="single" w:color="D5D5D5" w:sz="1"/>
              <w:left w:val="single" w:color="D5D5D5" w:sz="1"/>
              <w:bottom w:val="single" w:color="D5D5D5" w:sz="1"/>
              <w:right w:val="single" w:color="D5D5D5" w:sz="1"/>
            </w:tcBorders>
            <w:shd w:fill="FFFFFF" w:val="clear"/>
          </w:tcPr>
          <w:p>
            <w:pPr>
              <w:jc w:val="center"/>
            </w:pPr>
            <w:r>
              <w:rPr>
                <w:sz w:val="18"/>
                <w:szCs w:val="18"/>
              </w:rPr>
              <w:t xml:space="preserve"> </w:t>
            </w:r>
          </w:p>
        </w:tc>
        <w:tc>
          <w:tcPr>
            <w:tcW w:type="dxa" w:w="640"/>
            <w:tcBorders>
              <w:top w:val="single" w:color="D5D5D5" w:sz="1"/>
              <w:left w:val="single" w:color="D5D5D5" w:sz="1"/>
              <w:bottom w:val="single" w:color="D5D5D5" w:sz="1"/>
              <w:right w:val="single" w:color="D5D5D5" w:sz="1"/>
            </w:tcBorders>
            <w:shd w:fill="FFFFFF" w:val="clear"/>
          </w:tcPr>
          <w:p>
            <w:pPr>
              <w:jc w:val="center"/>
            </w:pPr>
            <w:r>
              <w:rPr>
                <w:sz w:val="18"/>
                <w:szCs w:val="18"/>
              </w:rPr>
              <w:t xml:space="preserve"> </w:t>
            </w:r>
          </w:p>
        </w:tc>
      </w:tr>
    </w:tbl>
    <w:p>
      <w:r>
        <w:br w:type="page"/>
      </w:r>
    </w:p>
    <w:p>
      <w:pPr>
        <w:pStyle w:val="Heading1"/>
        <w:spacing w:after="120" w:before="360"/>
      </w:pPr>
      <w:r>
        <w:rPr>
          <w:rFonts w:ascii="Georgia" w:cs="Georgia" w:eastAsia="Georgia" w:hAnsi="Georgia"/>
          <w:b/>
          <w:bCs/>
          <w:color w:val="1A2332"/>
          <w:sz w:val="36"/>
          <w:szCs w:val="36"/>
        </w:rPr>
        <w:t xml:space="preserve">Assessment</w:t>
      </w:r>
    </w:p>
    <w:p>
      <w:pPr>
        <w:spacing w:after="160"/>
      </w:pPr>
      <w:r>
        <w:rPr>
          <w:rFonts w:ascii="Arial" w:cs="Arial" w:eastAsia="Arial" w:hAnsi="Arial"/>
          <w:color w:val="6B7280"/>
          <w:sz w:val="22"/>
          <w:szCs w:val="22"/>
        </w:rPr>
        <w:t xml:space="preserve">Complete the following submissions to demonstrate your learning:</w:t>
      </w:r>
    </w:p>
    <w:p>
      <w:pPr>
        <w:spacing w:after="1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20"/>
        <w:gridCol w:w="8906"/>
      </w:tblGrid>
      <w:tr>
        <w:tc>
          <w:tcPr>
            <w:tcW w:type="dxa" w:w="120"/>
            <w:tcBorders>
              <w:top w:val="none" w:sz="0"/>
              <w:left w:val="none" w:sz="0"/>
              <w:bottom w:val="none" w:sz="0"/>
              <w:right w:val="none" w:sz="0"/>
            </w:tcBorders>
            <w:shd w:fill="B08D57" w:val="clear"/>
          </w:tcPr>
          <w:p/>
        </w:tc>
        <w:tc>
          <w:tcPr>
            <w:tcW w:type="dxa" w:w="8906"/>
            <w:tcBorders>
              <w:top w:val="none" w:sz="0"/>
              <w:left w:val="none" w:sz="0"/>
              <w:bottom w:val="none" w:sz="0"/>
              <w:right w:val="none" w:sz="0"/>
            </w:tcBorders>
            <w:shd w:fill="F5F0EB" w:val="clear"/>
            <w:tcMar>
              <w:top w:type="dxa" w:w="160"/>
              <w:left w:type="dxa" w:w="200"/>
              <w:bottom w:type="dxa" w:w="160"/>
              <w:right w:type="dxa" w:w="200"/>
            </w:tcMar>
          </w:tcPr>
          <w:p>
            <w:pPr>
              <w:spacing w:after="60"/>
            </w:pPr>
            <w:r>
              <w:rPr>
                <w:rFonts w:ascii="Georgia" w:cs="Georgia" w:eastAsia="Georgia" w:hAnsi="Georgia"/>
                <w:b/>
                <w:bCs/>
                <w:color w:val="7C3A2E"/>
                <w:sz w:val="24"/>
                <w:szCs w:val="24"/>
              </w:rPr>
              <w:t xml:space="preserve">Submission 1: P&amp;L Analysis</w:t>
            </w:r>
          </w:p>
          <w:p>
            <w:r>
              <w:rPr>
                <w:rFonts w:ascii="Arial" w:cs="Arial" w:eastAsia="Arial" w:hAnsi="Arial"/>
                <w:color w:val="2C2C2C"/>
                <w:sz w:val="20"/>
                <w:szCs w:val="20"/>
              </w:rPr>
              <w:t xml:space="preserve">Annotated P&amp;L with commentary on key drivers and areas for improvement.</w:t>
            </w:r>
          </w:p>
        </w:tc>
      </w:tr>
    </w:tbl>
    <w:p>
      <w:pPr>
        <w:spacing w:after="2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20"/>
        <w:gridCol w:w="8906"/>
      </w:tblGrid>
      <w:tr>
        <w:tc>
          <w:tcPr>
            <w:tcW w:type="dxa" w:w="120"/>
            <w:tcBorders>
              <w:top w:val="none" w:sz="0"/>
              <w:left w:val="none" w:sz="0"/>
              <w:bottom w:val="none" w:sz="0"/>
              <w:right w:val="none" w:sz="0"/>
            </w:tcBorders>
            <w:shd w:fill="B08D57" w:val="clear"/>
          </w:tcPr>
          <w:p/>
        </w:tc>
        <w:tc>
          <w:tcPr>
            <w:tcW w:type="dxa" w:w="8906"/>
            <w:tcBorders>
              <w:top w:val="none" w:sz="0"/>
              <w:left w:val="none" w:sz="0"/>
              <w:bottom w:val="none" w:sz="0"/>
              <w:right w:val="none" w:sz="0"/>
            </w:tcBorders>
            <w:shd w:fill="F5F0EB" w:val="clear"/>
            <w:tcMar>
              <w:top w:type="dxa" w:w="160"/>
              <w:left w:type="dxa" w:w="200"/>
              <w:bottom w:type="dxa" w:w="160"/>
              <w:right w:type="dxa" w:w="200"/>
            </w:tcMar>
          </w:tcPr>
          <w:p>
            <w:pPr>
              <w:spacing w:after="60"/>
            </w:pPr>
            <w:r>
              <w:rPr>
                <w:rFonts w:ascii="Georgia" w:cs="Georgia" w:eastAsia="Georgia" w:hAnsi="Georgia"/>
                <w:b/>
                <w:bCs/>
                <w:color w:val="7C3A2E"/>
                <w:sz w:val="24"/>
                <w:szCs w:val="24"/>
              </w:rPr>
              <w:t xml:space="preserve">Submission 2: Financial Presentation</w:t>
            </w:r>
          </w:p>
          <w:p>
            <w:r>
              <w:rPr>
                <w:rFonts w:ascii="Arial" w:cs="Arial" w:eastAsia="Arial" w:hAnsi="Arial"/>
                <w:color w:val="2C2C2C"/>
                <w:sz w:val="20"/>
                <w:szCs w:val="20"/>
              </w:rPr>
              <w:t xml:space="preserve">A five-minute presentation of your spa's financial performance ready for delivery to your GM.</w:t>
            </w:r>
          </w:p>
        </w:tc>
      </w:tr>
    </w:tbl>
    <w:p>
      <w:pPr>
        <w:spacing w:after="200"/>
      </w:pPr>
    </w:p>
    <w:p>
      <w:pPr>
        <w:spacing w:after="300"/>
      </w:pPr>
    </w:p>
    <w:p>
      <w:pPr>
        <w:pBdr>
          <w:top w:val="single" w:color="B08D57" w:sz="2" w:space="12"/>
        </w:pBdr>
        <w:spacing w:after="80"/>
      </w:pPr>
      <w:r>
        <w:rPr>
          <w:rFonts w:ascii="Arial" w:cs="Arial" w:eastAsia="Arial" w:hAnsi="Arial"/>
          <w:b/>
          <w:bCs/>
          <w:color w:val="B08D57"/>
          <w:spacing w:val="80"/>
          <w:sz w:val="18"/>
          <w:szCs w:val="18"/>
        </w:rPr>
        <w:t xml:space="preserve">MODULE COMPLETION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400"/>
        <w:gridCol w:w="6626"/>
      </w:tblGrid>
      <w:tr>
        <w:tc>
          <w:tcPr>
            <w:tcW w:type="dxa" w:w="2400"/>
            <w:tcBorders>
              <w:top w:val="single" w:color="D5D5D5" w:sz="1"/>
              <w:left w:val="single" w:color="D5D5D5" w:sz="1"/>
              <w:bottom w:val="single" w:color="D5D5D5" w:sz="1"/>
              <w:right w:val="single" w:color="D5D5D5" w:sz="1"/>
            </w:tcBorders>
            <w:tcMar>
              <w:top w:type="dxa" w:w="80"/>
              <w:left w:type="dxa" w:w="120"/>
              <w:bottom w:type="dxa" w:w="80"/>
              <w:right w:type="dxa" w:w="120"/>
            </w:tcMar>
          </w:tcPr>
          <w:p>
            <w:r>
              <w:rPr>
                <w:rFonts w:ascii="Arial" w:cs="Arial" w:eastAsia="Arial" w:hAnsi="Arial"/>
                <w:color w:val="6B7280"/>
                <w:sz w:val="20"/>
                <w:szCs w:val="20"/>
              </w:rPr>
              <w:t xml:space="preserve">Name:</w:t>
            </w:r>
          </w:p>
        </w:tc>
        <w:tc>
          <w:tcPr>
            <w:tcW w:type="dxa" w:w="6626"/>
            <w:tcBorders>
              <w:top w:val="single" w:color="D5D5D5" w:sz="1"/>
              <w:left w:val="single" w:color="D5D5D5" w:sz="1"/>
              <w:bottom w:val="single" w:color="D5D5D5" w:sz="1"/>
              <w:right w:val="single" w:color="D5D5D5" w:sz="1"/>
            </w:tcBorders>
            <w:tcMar>
              <w:top w:type="dxa" w:w="80"/>
              <w:left w:type="dxa" w:w="120"/>
              <w:bottom w:type="dxa" w:w="80"/>
              <w:right w:type="dxa" w:w="120"/>
            </w:tcMar>
          </w:tcPr>
          <w:p/>
        </w:tc>
      </w:tr>
      <w:tr>
        <w:tc>
          <w:tcPr>
            <w:tcW w:type="dxa" w:w="2400"/>
            <w:tcBorders>
              <w:top w:val="single" w:color="D5D5D5" w:sz="1"/>
              <w:left w:val="single" w:color="D5D5D5" w:sz="1"/>
              <w:bottom w:val="single" w:color="D5D5D5" w:sz="1"/>
              <w:right w:val="single" w:color="D5D5D5" w:sz="1"/>
            </w:tcBorders>
            <w:tcMar>
              <w:top w:type="dxa" w:w="80"/>
              <w:left w:type="dxa" w:w="120"/>
              <w:bottom w:type="dxa" w:w="80"/>
              <w:right w:type="dxa" w:w="120"/>
            </w:tcMar>
          </w:tcPr>
          <w:p>
            <w:r>
              <w:rPr>
                <w:rFonts w:ascii="Arial" w:cs="Arial" w:eastAsia="Arial" w:hAnsi="Arial"/>
                <w:color w:val="6B7280"/>
                <w:sz w:val="20"/>
                <w:szCs w:val="20"/>
              </w:rPr>
              <w:t xml:space="preserve">Date:</w:t>
            </w:r>
          </w:p>
        </w:tc>
        <w:tc>
          <w:tcPr>
            <w:tcW w:type="dxa" w:w="6626"/>
            <w:tcBorders>
              <w:top w:val="single" w:color="D5D5D5" w:sz="1"/>
              <w:left w:val="single" w:color="D5D5D5" w:sz="1"/>
              <w:bottom w:val="single" w:color="D5D5D5" w:sz="1"/>
              <w:right w:val="single" w:color="D5D5D5" w:sz="1"/>
            </w:tcBorders>
            <w:tcMar>
              <w:top w:type="dxa" w:w="80"/>
              <w:left w:type="dxa" w:w="120"/>
              <w:bottom w:type="dxa" w:w="80"/>
              <w:right w:type="dxa" w:w="120"/>
            </w:tcMar>
          </w:tcPr>
          <w:p/>
        </w:tc>
      </w:tr>
      <w:tr>
        <w:tc>
          <w:tcPr>
            <w:tcW w:type="dxa" w:w="2400"/>
            <w:tcBorders>
              <w:top w:val="single" w:color="D5D5D5" w:sz="1"/>
              <w:left w:val="single" w:color="D5D5D5" w:sz="1"/>
              <w:bottom w:val="single" w:color="D5D5D5" w:sz="1"/>
              <w:right w:val="single" w:color="D5D5D5" w:sz="1"/>
            </w:tcBorders>
            <w:tcMar>
              <w:top w:type="dxa" w:w="80"/>
              <w:left w:type="dxa" w:w="120"/>
              <w:bottom w:type="dxa" w:w="80"/>
              <w:right w:type="dxa" w:w="120"/>
            </w:tcMar>
          </w:tcPr>
          <w:p>
            <w:r>
              <w:rPr>
                <w:rFonts w:ascii="Arial" w:cs="Arial" w:eastAsia="Arial" w:hAnsi="Arial"/>
                <w:color w:val="6B7280"/>
                <w:sz w:val="20"/>
                <w:szCs w:val="20"/>
              </w:rPr>
              <w:t xml:space="preserve">Assessor:</w:t>
            </w:r>
          </w:p>
        </w:tc>
        <w:tc>
          <w:tcPr>
            <w:tcW w:type="dxa" w:w="6626"/>
            <w:tcBorders>
              <w:top w:val="single" w:color="D5D5D5" w:sz="1"/>
              <w:left w:val="single" w:color="D5D5D5" w:sz="1"/>
              <w:bottom w:val="single" w:color="D5D5D5" w:sz="1"/>
              <w:right w:val="single" w:color="D5D5D5" w:sz="1"/>
            </w:tcBorders>
            <w:tcMar>
              <w:top w:type="dxa" w:w="80"/>
              <w:left w:type="dxa" w:w="120"/>
              <w:bottom w:type="dxa" w:w="80"/>
              <w:right w:type="dxa" w:w="120"/>
            </w:tcMar>
          </w:tcPr>
          <w:p/>
        </w:tc>
      </w:tr>
    </w:tbl>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E1DC" w:sz="1" w:space="4"/>
      </w:pBdr>
      <w:jc w:val="right"/>
    </w:pPr>
    <w:r>
      <w:rPr>
        <w:rFonts w:ascii="Arial" w:cs="Arial" w:eastAsia="Arial" w:hAnsi="Arial"/>
        <w:color w:val="6B7280"/>
        <w:sz w:val="14"/>
        <w:szCs w:val="14"/>
      </w:rPr>
      <w:t xml:space="preserve">Commercial Leadership Programme  |  Page </w:t>
    </w:r>
    <w:r>
      <w:rPr>
        <w:rFonts w:ascii="Arial" w:cs="Arial" w:eastAsia="Arial" w:hAnsi="Arial"/>
        <w:color w:val="6B7280"/>
        <w:sz w:val="14"/>
        <w:szCs w:val="1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B08D57" w:sz="1" w:space="4"/>
      </w:pBdr>
      <w:spacing w:after="0"/>
    </w:pPr>
    <w:r>
      <w:rPr>
        <w:rFonts w:ascii="Arial" w:cs="Arial" w:eastAsia="Arial" w:hAnsi="Arial"/>
        <w:color w:val="6B7280"/>
        <w:sz w:val="16"/>
        <w:szCs w:val="16"/>
      </w:rPr>
      <w:t xml:space="preserve">Module 6: Understanding Spa Financials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Georgia" w:cs="Georgia" w:eastAsia="Georgia" w:hAnsi="Georgia"/>
      <w:b/>
      <w:bCs/>
      <w:color w:val="1A2332"/>
      <w:sz w:val="36"/>
      <w:szCs w:val="36"/>
    </w:rPr>
  </w:style>
  <w:style w:type="paragraph" w:styleId="Heading2">
    <w:name w:val="Heading 2"/>
    <w:basedOn w:val="Normal"/>
    <w:next w:val="Normal"/>
    <w:qFormat/>
    <w:pPr>
      <w:spacing w:after="160" w:before="280"/>
      <w:outlineLvl w:val="1"/>
    </w:pPr>
    <w:rPr>
      <w:rFonts w:ascii="Georgia" w:cs="Georgia" w:eastAsia="Georgia" w:hAnsi="Georgia"/>
      <w:b/>
      <w:bCs/>
      <w:color w:val="7C3A2E"/>
      <w:sz w:val="28"/>
      <w:szCs w:val="28"/>
    </w:rPr>
  </w:style>
  <w:style w:type="paragraph" w:styleId="Heading3">
    <w:name w:val="Heading 3"/>
    <w:basedOn w:val="Normal"/>
    <w:next w:val="Normal"/>
    <w:qFormat/>
    <w:pPr>
      <w:spacing w:after="120" w:before="200"/>
      <w:outlineLvl w:val="2"/>
    </w:pPr>
    <w:rPr>
      <w:rFonts w:ascii="Georgia" w:cs="Georgia" w:eastAsia="Georgia" w:hAnsi="Georgia"/>
      <w:b/>
      <w:bCs/>
      <w:color w:val="1A2332"/>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2026-03-20T15:23:53.549Z</dcterms:created>
  <dcterms:modified xsi:type="dcterms:W3CDTF">2026-03-20T15:23:53.549Z</dcterms:modified>
</cp:coreProperties>
</file>

<file path=docProps/custom.xml><?xml version="1.0" encoding="utf-8"?>
<Properties xmlns="http://schemas.openxmlformats.org/officeDocument/2006/custom-properties" xmlns:vt="http://schemas.openxmlformats.org/officeDocument/2006/docPropsVTypes"/>
</file>