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0"/>
      </w:pPr>
    </w:p>
    <w:p>
      <w:pPr>
        <w:spacing w:after="80"/>
        <w:jc w:val="left"/>
      </w:pPr>
      <w:r>
        <w:rPr>
          <w:rFonts w:ascii="Arial" w:cs="Arial" w:eastAsia="Arial" w:hAnsi="Arial"/>
          <w:b/>
          <w:bCs/>
          <w:color w:val="7C3A2E"/>
          <w:spacing w:val="120"/>
          <w:sz w:val="18"/>
          <w:szCs w:val="18"/>
        </w:rPr>
        <w:t xml:space="preserve">FINANCIAL &amp; COMMERCIAL MASTERY</w:t>
      </w:r>
    </w:p>
    <w:p>
      <w:pPr>
        <w:spacing w:after="40"/>
        <w:jc w:val="left"/>
      </w:pPr>
      <w:r>
        <w:rPr>
          <w:rFonts w:ascii="Arial" w:cs="Arial" w:eastAsia="Arial" w:hAnsi="Arial"/>
          <w:color w:val="B08D57"/>
          <w:spacing w:val="80"/>
          <w:sz w:val="20"/>
          <w:szCs w:val="20"/>
        </w:rPr>
        <w:t xml:space="preserve">MODULE 10</w:t>
      </w:r>
    </w:p>
    <w:p>
      <w:pPr>
        <w:spacing w:after="200"/>
      </w:pPr>
    </w:p>
    <w:p>
      <w:pPr>
        <w:pBdr>
          <w:bottom w:val="single" w:color="B08D57" w:sz="6" w:space="8"/>
        </w:pBdr>
        <w:spacing w:after="200"/>
        <w:jc w:val="left"/>
      </w:pPr>
      <w:r>
        <w:rPr>
          <w:rFonts w:ascii="Georgia" w:cs="Georgia" w:eastAsia="Georgia" w:hAnsi="Georgia"/>
          <w:b/>
          <w:bCs/>
          <w:color w:val="1A2332"/>
          <w:sz w:val="52"/>
          <w:szCs w:val="52"/>
        </w:rPr>
        <w:t xml:space="preserve">Retail Strategy &amp; Revenue Diversification</w:t>
      </w:r>
    </w:p>
    <w:p>
      <w:pPr>
        <w:spacing w:after="100"/>
      </w:pPr>
    </w:p>
    <w:p>
      <w:pPr>
        <w:spacing w:after="200"/>
        <w:jc w:val="left"/>
      </w:pPr>
      <w:r>
        <w:rPr>
          <w:rFonts w:ascii="Georgia" w:cs="Georgia" w:eastAsia="Georgia" w:hAnsi="Georgia"/>
          <w:color w:val="6B7280"/>
          <w:sz w:val="24"/>
          <w:szCs w:val="24"/>
        </w:rPr>
        <w:t xml:space="preserve">The treatment ends. The retail relationship doesn't.</w:t>
      </w:r>
    </w:p>
    <w:p>
      <w:pPr>
        <w:spacing w:after="1800"/>
      </w:pPr>
    </w:p>
    <w:p>
      <w:pPr>
        <w:pBdr>
          <w:top w:val="single" w:color="B08D57" w:sz="2" w:space="8"/>
        </w:pBdr>
        <w:spacing w:after="60"/>
        <w:jc w:val="left"/>
      </w:pPr>
      <w:r>
        <w:rPr>
          <w:rFonts w:ascii="Arial" w:cs="Arial" w:eastAsia="Arial" w:hAnsi="Arial"/>
          <w:color w:val="B08D57"/>
          <w:spacing w:val="100"/>
          <w:sz w:val="16"/>
          <w:szCs w:val="16"/>
        </w:rPr>
        <w:t xml:space="preserve">COMMERCIAL LEADERSHIP PROGRAMME</w:t>
      </w:r>
    </w:p>
    <w:p>
      <w:pPr>
        <w:jc w:val="left"/>
      </w:pPr>
      <w:r>
        <w:rPr>
          <w:rFonts w:ascii="Arial" w:cs="Arial" w:eastAsia="Arial" w:hAnsi="Arial"/>
          <w:color w:val="6B7280"/>
          <w:sz w:val="18"/>
          <w:szCs w:val="18"/>
        </w:rPr>
        <w:t xml:space="preserve">Spa Director &amp; Spa Manager Development</w:t>
      </w:r>
    </w:p>
    <w:p>
      <w:r>
        <w:br w:type="page"/>
      </w:r>
    </w:p>
    <w:p>
      <w:pPr>
        <w:sectPr>
          <w:pgSz w:w="11906" w:h="16838" w:orient="portrait"/>
          <w:pgMar w:top="1440" w:right="1440" w:bottom="1440" w:left="1440" w:header="708" w:footer="708" w:gutter="0"/>
          <w:pgNumType/>
          <w:docGrid w:linePitch="360"/>
        </w:sectPr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Module Overview</w:t>
      </w:r>
    </w:p>
    <w:p>
      <w:pPr>
        <w:spacing w:after="160"/>
      </w:pPr>
      <w:r>
        <w:rPr>
          <w:rFonts w:ascii="Arial" w:cs="Arial" w:eastAsia="Arial" w:hAnsi="Arial"/>
          <w:color w:val="6B7280"/>
          <w:sz w:val="24"/>
          <w:szCs w:val="24"/>
        </w:rPr>
        <w:t xml:space="preserve">The treatment ends. The retail relationship doesn't.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7526"/>
      </w:tblGrid>
      <w:tr>
        <w:tc>
          <w:tcPr>
            <w:tcW w:type="dxa" w:w="1500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LESSON</w:t>
            </w:r>
          </w:p>
        </w:tc>
        <w:tc>
          <w:tcPr>
            <w:tcW w:type="dxa" w:w="7526"/>
            <w:tcBorders>
              <w:top w:val="none" w:sz="0"/>
              <w:left w:val="none" w:sz="0"/>
              <w:bottom w:val="none" w:sz="0"/>
              <w:right w:val="none" w:sz="0"/>
            </w:tcBorders>
            <w:shd w:fill="7C3A2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TOPIC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1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Building a Retail Culture</w:t>
            </w:r>
          </w:p>
        </w:tc>
      </w:tr>
      <w:tr>
        <w:tc>
          <w:tcPr>
            <w:tcW w:type="dxa" w:w="1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7C3A2E"/>
                <w:sz w:val="20"/>
                <w:szCs w:val="20"/>
              </w:rPr>
              <w:t xml:space="preserve">Lesson 2</w:t>
            </w:r>
          </w:p>
        </w:tc>
        <w:tc>
          <w:tcPr>
            <w:tcW w:type="dxa" w:w="7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Revenue Diversification Beyond Retail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1: Building a Retail Culture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Most spa retail fails because of how it's framed. 'Selling' feels pushy. 'Prescribing homecare' feels professional. The language you use internally changes the behaviour externally.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Think of it clinically. A therapist who's just delivered a facial has spent 60 minutes with that guest's skin. They know what it needs. Recommending a serum isn't selling — it's professional aftercare. A doctor prescribes medication after a consultation. A therapist prescribes homecare after a treatment. Same principle.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Product knowledge is the foundation. A therapist who doesn't know the products can't recommend them confidently. Monthly product training, test-at-home programmes, and linking specific products to specific treatment outcomes transforms hesitant therapists into confident prescribers.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Reframe selling as prescribing homecare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product knowledge as the confidence foundation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Link specific products to specific treatment outcomes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Create a retail culture that feels natural, not forced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7C3A2E"/>
          <w:sz w:val="36"/>
          <w:szCs w:val="36"/>
        </w:rPr>
        <w:t xml:space="preserve">Lesson 2: Revenue Diversification Beyond Retail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Treatment and retail income shouldn't be your only revenue streams. Memberships and wellness subscriptions create predictable recurring revenue. A monthly membership at £85 with guaranteed capacity generates reliable cash flow and higher lifetime guest value.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Gift cards are essentially interest-free loans from your guests. A strong gift card programme peaks at Christmas and Valentine's Day but should run year-round. Experience packages (couples, birthdays, wellness days) command premium pricing.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Digital products are an emerging frontier: online skin consultations, homecare subscription boxes, wellness content subscriptions. These extend your relationship beyond the treatment room.</w:t>
      </w:r>
    </w:p>
    <w:p>
      <w:pPr>
        <w:spacing w:after="80"/>
      </w:pPr>
    </w:p>
    <w:p>
      <w:pPr>
        <w:shd w:fill="F0E8E6" w:val="clear"/>
        <w:spacing w:after="80" w:before="120"/>
        <w:ind w:left="120" w:right="12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KEY POINTS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Design membership models for recurring revenue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Build a year-round gift card programme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Create experience packages that command premium pricing</w:t>
      </w:r>
    </w:p>
    <w:p>
      <w:pPr>
        <w:pStyle w:val="ListParagraph"/>
        <w:numPr>
          <w:ilvl w:val="0"/>
          <w:numId w:val="2"/>
        </w:numPr>
        <w:spacing w:after="8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Explore digital products to extend the guest relationship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Key Concept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200"/>
              <w:left w:type="dxa" w:w="240"/>
              <w:bottom w:type="dxa" w:w="200"/>
              <w:right w:type="dxa" w:w="240"/>
            </w:tcMar>
          </w:tcPr>
          <w:p>
            <w:pPr>
              <w:spacing w:after="0"/>
            </w:pPr>
            <w:r>
              <w:rPr>
                <w:rFonts w:ascii="Georgia" w:cs="Georgia" w:eastAsia="Georgia" w:hAnsi="Georgia"/>
                <w:color w:val="1A2332"/>
                <w:sz w:val="26"/>
                <w:szCs w:val="26"/>
              </w:rPr>
              <w:t xml:space="preserve">“Therapists don't sell products. They prescribe homecare. When you change the language, you change the behaviour.”</w:t>
            </w:r>
          </w:p>
        </w:tc>
      </w:tr>
    </w:tbl>
    <w:p>
      <w:pPr>
        <w:spacing w:after="300"/>
      </w:pP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Practical Exercise</w:t>
      </w:r>
    </w:p>
    <w:p>
      <w:pPr>
        <w:spacing w:after="16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a retail training programme for your team. Create three product prescriptions linked to your top treatments. Calculate your current retail ratio and set a 90-day improvement target. Draft one membership or subscription concept with pricing.</w:t>
      </w:r>
    </w:p>
    <w:p>
      <w:pPr>
        <w:spacing w:after="1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6B7280"/>
          <w:spacing w:val="80"/>
          <w:sz w:val="18"/>
          <w:szCs w:val="18"/>
        </w:rPr>
        <w:t xml:space="preserve">YOUR NOTES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Learning Outcomes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By completing this module, you will be able to:</w:t>
      </w:r>
    </w:p>
    <w:p>
      <w:pPr>
        <w:spacing w:after="60"/>
      </w:pP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Build a prescriptive retail culture that feels natural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Train therapists to link treatment outcomes to homecare products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Design membership and subscription models for recurring revenue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color w:val="2C2C2C"/>
          <w:sz w:val="22"/>
          <w:szCs w:val="22"/>
        </w:rPr>
        <w:t xml:space="preserve">Diversify revenue streams beyond treatment and retail</w:t>
      </w:r>
    </w:p>
    <w:p>
      <w:pPr>
        <w:spacing w:after="200"/>
      </w:pPr>
    </w:p>
    <w:p>
      <w:pPr>
        <w:spacing w:after="80"/>
      </w:pPr>
      <w:r>
        <w:rPr>
          <w:rFonts w:ascii="Arial" w:cs="Arial" w:eastAsia="Arial" w:hAnsi="Arial"/>
          <w:b/>
          <w:bCs/>
          <w:color w:val="7C3A2E"/>
          <w:spacing w:val="80"/>
          <w:sz w:val="18"/>
          <w:szCs w:val="18"/>
        </w:rPr>
        <w:t xml:space="preserve">SELF-ASSESSMENT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Rate your confidence in each outcome (1 = Not yet confident, 5 = Fully confident):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Outcome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7C3A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Build a prescriptive retail culture that feels natural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Train therapists to link treatment outcomes to homecare products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Design membership and subscription models for recurring revenue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0E8E6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Diversify revenue streams beyond treatment and retail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>
      <w:r>
        <w:br w:type="page"/>
      </w:r>
    </w:p>
    <w:p>
      <w:pPr>
        <w:pStyle w:val="Heading1"/>
        <w:spacing w:after="120" w:before="3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Assessment</w:t>
      </w:r>
    </w:p>
    <w:p>
      <w:pPr>
        <w:spacing w:after="160"/>
      </w:pPr>
      <w:r>
        <w:rPr>
          <w:rFonts w:ascii="Arial" w:cs="Arial" w:eastAsia="Arial" w:hAnsi="Arial"/>
          <w:color w:val="6B7280"/>
          <w:sz w:val="22"/>
          <w:szCs w:val="22"/>
        </w:rPr>
        <w:t xml:space="preserve">Complete the following submissions to demonstrate your learning:</w:t>
      </w:r>
    </w:p>
    <w:p>
      <w:pPr>
        <w:spacing w:after="1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1: Retail Training Plan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 structured programme with scripts, product links, and practice exercises.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"/>
        <w:gridCol w:w="8906"/>
      </w:tblGrid>
      <w:tr>
        <w:tc>
          <w:tcPr>
            <w:tcW w:type="dxa" w:w="120"/>
            <w:tcBorders>
              <w:top w:val="none" w:sz="0"/>
              <w:left w:val="none" w:sz="0"/>
              <w:bottom w:val="none" w:sz="0"/>
              <w:right w:val="none" w:sz="0"/>
            </w:tcBorders>
            <w:shd w:fill="B08D57" w:val="clear"/>
          </w:tcPr>
          <w:p/>
        </w:tc>
        <w:tc>
          <w:tcPr>
            <w:tcW w:type="dxa" w:w="8906"/>
            <w:tcBorders>
              <w:top w:val="none" w:sz="0"/>
              <w:left w:val="none" w:sz="0"/>
              <w:bottom w:val="none" w:sz="0"/>
              <w:right w:val="none" w:sz="0"/>
            </w:tcBorders>
            <w:shd w:fill="F5F0EB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/>
            </w:pPr>
            <w:r>
              <w:rPr>
                <w:rFonts w:ascii="Georgia" w:cs="Georgia" w:eastAsia="Georgia" w:hAnsi="Georgia"/>
                <w:b/>
                <w:bCs/>
                <w:color w:val="7C3A2E"/>
                <w:sz w:val="24"/>
                <w:szCs w:val="24"/>
              </w:rPr>
              <w:t xml:space="preserve">Submission 2: Diversification Strategy</w:t>
            </w:r>
          </w:p>
          <w:p>
            <w:r>
              <w:rPr>
                <w:rFonts w:ascii="Arial" w:cs="Arial" w:eastAsia="Arial" w:hAnsi="Arial"/>
                <w:color w:val="2C2C2C"/>
                <w:sz w:val="20"/>
                <w:szCs w:val="20"/>
              </w:rPr>
              <w:t xml:space="preserve">At least two new revenue stream proposals with financial projections.</w:t>
            </w:r>
          </w:p>
        </w:tc>
      </w:tr>
    </w:tbl>
    <w:p>
      <w:pPr>
        <w:spacing w:after="200"/>
      </w:pPr>
    </w:p>
    <w:p>
      <w:pPr>
        <w:spacing w:after="300"/>
      </w:pPr>
    </w:p>
    <w:p>
      <w:pPr>
        <w:pBdr>
          <w:top w:val="single" w:color="B08D57" w:sz="2" w:space="12"/>
        </w:pBdr>
        <w:spacing w:after="80"/>
      </w:pPr>
      <w:r>
        <w:rPr>
          <w:rFonts w:ascii="Arial" w:cs="Arial" w:eastAsia="Arial" w:hAnsi="Arial"/>
          <w:b/>
          <w:bCs/>
          <w:color w:val="B08D57"/>
          <w:spacing w:val="80"/>
          <w:sz w:val="18"/>
          <w:szCs w:val="18"/>
        </w:rPr>
        <w:t xml:space="preserve">MODULE COMPLETION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626"/>
      </w:tblGrid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4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Assessor:</w:t>
            </w:r>
          </w:p>
        </w:tc>
        <w:tc>
          <w:tcPr>
            <w:tcW w:type="dxa" w:w="66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  <w:spacing w:after="0"/>
    </w:pPr>
    <w:r>
      <w:rPr>
        <w:rFonts w:ascii="Arial" w:cs="Arial" w:eastAsia="Arial" w:hAnsi="Arial"/>
        <w:color w:val="6B7280"/>
        <w:sz w:val="16"/>
        <w:szCs w:val="16"/>
      </w:rPr>
      <w:t xml:space="preserve">Module 10: Retail Strategy &amp; Revenue Diversification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Georgia" w:cs="Georgia" w:eastAsia="Georgia" w:hAnsi="Georgia"/>
      <w:b/>
      <w:bCs/>
      <w:color w:val="1A2332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60" w:before="280"/>
      <w:outlineLvl w:val="1"/>
    </w:pPr>
    <w:rPr>
      <w:rFonts w:ascii="Georgia" w:cs="Georgia" w:eastAsia="Georgia" w:hAnsi="Georgia"/>
      <w:b/>
      <w:bCs/>
      <w:color w:val="7C3A2E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Georgia" w:cs="Georgia" w:eastAsia="Georgia" w:hAnsi="Georgia"/>
      <w:b/>
      <w:bCs/>
      <w:color w:val="1A2332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2026-03-20T15:23:53.752Z</dcterms:created>
  <dcterms:modified xsi:type="dcterms:W3CDTF">2026-03-20T15:23:53.752Z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