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color w:val="2E5148"/>
          <w:spacing w:val="120"/>
          <w:sz w:val="18"/>
          <w:szCs w:val="18"/>
        </w:rPr>
        <w:t xml:space="preserve">OPERATIONS &amp; DELIVERY</w:t>
      </w:r>
    </w:p>
    <w:p>
      <w:pPr>
        <w:spacing w:after="40"/>
        <w:jc w:val="left"/>
      </w:pPr>
      <w:r>
        <w:rPr>
          <w:rFonts w:ascii="Arial" w:cs="Arial" w:eastAsia="Arial" w:hAnsi="Arial"/>
          <w:color w:val="B08D57"/>
          <w:spacing w:val="80"/>
          <w:sz w:val="20"/>
          <w:szCs w:val="20"/>
        </w:rPr>
        <w:t xml:space="preserve">MODULE 15</w:t>
      </w:r>
    </w:p>
    <w:p>
      <w:pPr>
        <w:spacing w:after="200"/>
      </w:pPr>
    </w:p>
    <w:p>
      <w:pPr>
        <w:pBdr>
          <w:bottom w:val="single" w:color="B08D57" w:sz="6" w:space="8"/>
        </w:pBdr>
        <w:spacing w:after="200"/>
        <w:jc w:val="left"/>
      </w:pPr>
      <w:r>
        <w:rPr>
          <w:rFonts w:ascii="Georgia" w:cs="Georgia" w:eastAsia="Georgia" w:hAnsi="Georgia"/>
          <w:b/>
          <w:bCs/>
          <w:color w:val="1A2332"/>
          <w:sz w:val="52"/>
          <w:szCs w:val="52"/>
        </w:rPr>
        <w:t xml:space="preserve">Guest Experience &amp; Luxury Standards</w:t>
      </w:r>
    </w:p>
    <w:p>
      <w:pPr>
        <w:spacing w:after="100"/>
      </w:pPr>
    </w:p>
    <w:p>
      <w:pPr>
        <w:spacing w:after="200"/>
        <w:jc w:val="left"/>
      </w:pPr>
      <w:r>
        <w:rPr>
          <w:rFonts w:ascii="Georgia" w:cs="Georgia" w:eastAsia="Georgia" w:hAnsi="Georgia"/>
          <w:color w:val="6B7280"/>
          <w:sz w:val="24"/>
          <w:szCs w:val="24"/>
        </w:rPr>
        <w:t xml:space="preserve">Luxury is anticipation, consistency, and making every guest feel like the only person in the building.</w:t>
      </w:r>
    </w:p>
    <w:p>
      <w:pPr>
        <w:spacing w:after="1800"/>
      </w:pPr>
    </w:p>
    <w:p>
      <w:pPr>
        <w:pBdr>
          <w:top w:val="single" w:color="B08D57" w:sz="2" w:space="8"/>
        </w:pBdr>
        <w:spacing w:after="60"/>
        <w:jc w:val="left"/>
      </w:pPr>
      <w:r>
        <w:rPr>
          <w:rFonts w:ascii="Arial" w:cs="Arial" w:eastAsia="Arial" w:hAnsi="Arial"/>
          <w:color w:val="B08D57"/>
          <w:spacing w:val="100"/>
          <w:sz w:val="16"/>
          <w:szCs w:val="16"/>
        </w:rPr>
        <w:t xml:space="preserve">COMMERCIAL LEADERSHIP PROGRAMME</w:t>
      </w:r>
    </w:p>
    <w:p>
      <w:pPr>
        <w:jc w:val="left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Spa Director &amp; Spa Manager Development</w:t>
      </w:r>
    </w:p>
    <w:p>
      <w:r>
        <w:br w:type="page"/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Module Overview</w:t>
      </w:r>
    </w:p>
    <w:p>
      <w:pPr>
        <w:spacing w:after="16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Luxury is anticipation, consistency, and making every guest feel like the only person in the building.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W w:type="dxa" w:w="1500"/>
            <w:tcBorders>
              <w:top w:val="none" w:sz="0"/>
              <w:left w:val="none" w:sz="0"/>
              <w:bottom w:val="none" w:sz="0"/>
              <w:right w:val="none" w:sz="0"/>
            </w:tcBorders>
            <w:shd w:fill="2E514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LESSON</w:t>
            </w:r>
          </w:p>
        </w:tc>
        <w:tc>
          <w:tcPr>
            <w:tcW w:type="dxa" w:w="7526"/>
            <w:tcBorders>
              <w:top w:val="none" w:sz="0"/>
              <w:left w:val="none" w:sz="0"/>
              <w:bottom w:val="none" w:sz="0"/>
              <w:right w:val="none" w:sz="0"/>
            </w:tcBorders>
            <w:shd w:fill="2E514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TOPIC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5148"/>
                <w:sz w:val="20"/>
                <w:szCs w:val="20"/>
              </w:rPr>
              <w:t xml:space="preserve">Lesson 1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Mapping the Full Guest Journey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5148"/>
                <w:sz w:val="20"/>
                <w:szCs w:val="20"/>
              </w:rPr>
              <w:t xml:space="preserve">Lesson 2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Anticipation vs Reaction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5148"/>
                <w:sz w:val="20"/>
                <w:szCs w:val="20"/>
              </w:rPr>
              <w:t xml:space="preserve">Lesson 3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Handling Complaints — The LEARN Framework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2E5148"/>
          <w:sz w:val="36"/>
          <w:szCs w:val="36"/>
        </w:rPr>
        <w:t xml:space="preserve">Lesson 1: Mapping the Full Guest Journey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The guest experience starts long before they walk through your door. Map every touchpoint: booking, pre-arrival communication, arrival, waiting, transition, treatment, post-treatment, checkout, follow-up. For each, ask: what does the guest see, hear, feel, smell? What's the standard? Where can we exceed expectations?</w:t>
      </w:r>
    </w:p>
    <w:p>
      <w:pPr>
        <w:spacing w:after="80"/>
      </w:pPr>
    </w:p>
    <w:p>
      <w:pPr>
        <w:shd w:fill="E6EBE9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2E5148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Map every touchpoint from booking to follow-up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Define sensory standards at each stage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Identify gaps between current and ideal experience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Prioritise improvements by guest impact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2E5148"/>
          <w:sz w:val="36"/>
          <w:szCs w:val="36"/>
        </w:rPr>
        <w:t xml:space="preserve">Lesson 2: Anticipation vs Reaction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Reactive service waits for problems. Anticipatory service prevents them. A guest shouldn't ask for water — it should be offered. A cold treatment room should be checked before the guest arrives. Build anticipation into your SOPs at every stage.</w:t>
      </w:r>
    </w:p>
    <w:p>
      <w:pPr>
        <w:spacing w:after="80"/>
      </w:pPr>
    </w:p>
    <w:p>
      <w:pPr>
        <w:shd w:fill="E6EBE9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2E5148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Pre-arrival: review notes, preferences, special occasions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Arrival: greet by name, offer the right beverage, guide the journey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During: pre-set room to recorded preferences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Post: rebooking, homecare recommendation, 48-hour follow-up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2E5148"/>
          <w:sz w:val="36"/>
          <w:szCs w:val="36"/>
        </w:rPr>
        <w:t xml:space="preserve">Lesson 3: Handling Complaints — The LEARN Framework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Listen. Empathise. Apologise. Resolve. Notify. Every complaint handled brilliantly creates a more loyal guest than one who never had a problem. The LEARN framework gives your team a structure that turns negative moments into positive outcomes.</w:t>
      </w:r>
    </w:p>
    <w:p>
      <w:pPr>
        <w:spacing w:after="80"/>
      </w:pPr>
    </w:p>
    <w:p>
      <w:pPr>
        <w:shd w:fill="E6EBE9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2E5148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Listen without interrupting or defending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Empathise with the emotion, not the facts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Apologise genuinely — no blame-shifting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Resolve by exceeding expectations, then notify the team and fix the root cause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Key Concept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color w:val="1A2332"/>
                <w:sz w:val="26"/>
                <w:szCs w:val="26"/>
              </w:rPr>
              <w:t xml:space="preserve">“The treatment is the main course. But guests judge the restaurant on the welcome, the ambiance, the pace, and the goodbye.”</w:t>
            </w:r>
          </w:p>
        </w:tc>
      </w:tr>
    </w:tbl>
    <w:p>
      <w:pPr>
        <w:spacing w:after="300"/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Practical Exercise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Map your complete guest journey with standards at each touchpoint. For each, define the current standard, ideal standard, and one action to close the gap. Design a complaint protocol using LEARN and role-play three scenarios with your team.</w:t>
      </w:r>
    </w:p>
    <w:p>
      <w:pPr>
        <w:spacing w:after="1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6B7280"/>
          <w:spacing w:val="80"/>
          <w:sz w:val="18"/>
          <w:szCs w:val="18"/>
        </w:rPr>
        <w:t xml:space="preserve">YOUR NOTES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Learning Outcomes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By completing this module, you will be able to:</w:t>
      </w:r>
    </w:p>
    <w:p>
      <w:pPr>
        <w:spacing w:after="60"/>
      </w:pP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Map a complete guest journey with standards at every touchpoint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Design anticipatory service protocols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Apply the LEARN framework to handle complaints professionally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Build a culture of anticipation rather than reaction</w:t>
      </w:r>
    </w:p>
    <w:p>
      <w:pPr>
        <w:spacing w:after="2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2E5148"/>
          <w:spacing w:val="80"/>
          <w:sz w:val="18"/>
          <w:szCs w:val="18"/>
        </w:rPr>
        <w:t xml:space="preserve">SELF-ASSESSMENT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Rate your confidence in each outcome (1 = Not yet confident, 5 = Fully confident):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Map a complete guest journey with standards at every touchpoint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Design anticipatory service protocols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Apply the LEARN framework to handle complaints professionally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Build a culture of anticipation rather than reaction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Complete the following submissions to demonstrate your learning: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E5148"/>
                <w:sz w:val="24"/>
                <w:szCs w:val="24"/>
              </w:rPr>
              <w:t xml:space="preserve">Submission 1: Guest Journey Map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Complete touchpoint map with current vs ideal standards and prioritised action plan.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E5148"/>
                <w:sz w:val="24"/>
                <w:szCs w:val="24"/>
              </w:rPr>
              <w:t xml:space="preserve">Submission 2: Complaint Protocol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LEARN-based protocol with three role-play scenarios and model responses.</w:t>
            </w:r>
          </w:p>
        </w:tc>
      </w:tr>
    </w:tbl>
    <w:p>
      <w:pPr>
        <w:spacing w:after="200"/>
      </w:pPr>
    </w:p>
    <w:p>
      <w:pPr>
        <w:spacing w:after="300"/>
      </w:pPr>
    </w:p>
    <w:p>
      <w:pPr>
        <w:pBdr>
          <w:top w:val="single" w:color="B08D57" w:sz="2" w:space="12"/>
        </w:pBdr>
        <w:spacing w:after="80"/>
      </w:pPr>
      <w:r>
        <w:rPr>
          <w:rFonts w:ascii="Arial" w:cs="Arial" w:eastAsia="Arial" w:hAnsi="Arial"/>
          <w:b/>
          <w:bCs/>
          <w:color w:val="B08D57"/>
          <w:spacing w:val="80"/>
          <w:sz w:val="18"/>
          <w:szCs w:val="18"/>
        </w:rPr>
        <w:t xml:space="preserve">MODULE COMPLETION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Assessor: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  <w:spacing w:after="0"/>
    </w:pPr>
    <w:r>
      <w:rPr>
        <w:rFonts w:ascii="Arial" w:cs="Arial" w:eastAsia="Arial" w:hAnsi="Arial"/>
        <w:color w:val="6B7280"/>
        <w:sz w:val="16"/>
        <w:szCs w:val="16"/>
      </w:rPr>
      <w:t xml:space="preserve">Module 15: Guest Experience &amp; Luxury Standards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Georgia" w:cs="Georgia" w:eastAsia="Georgia" w:hAnsi="Georgia"/>
      <w:b/>
      <w:bCs/>
      <w:color w:val="1A233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Georgia" w:cs="Georgia" w:eastAsia="Georgia" w:hAnsi="Georgia"/>
      <w:b/>
      <w:bCs/>
      <w:color w:val="2E5148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Georgia" w:cs="Georgia" w:eastAsia="Georgia" w:hAnsi="Georgia"/>
      <w:b/>
      <w:bCs/>
      <w:color w:val="1A233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2026-03-20T15:23:53.911Z</dcterms:created>
  <dcterms:modified xsi:type="dcterms:W3CDTF">2026-03-20T15:23:53.911Z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