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color w:val="2E5148"/>
          <w:spacing w:val="120"/>
          <w:sz w:val="18"/>
          <w:szCs w:val="18"/>
        </w:rPr>
        <w:t xml:space="preserve">OPERATIONS &amp; DELIVERY</w:t>
      </w:r>
    </w:p>
    <w:p>
      <w:pPr>
        <w:spacing w:after="40"/>
        <w:jc w:val="left"/>
      </w:pPr>
      <w:r>
        <w:rPr>
          <w:rFonts w:ascii="Arial" w:cs="Arial" w:eastAsia="Arial" w:hAnsi="Arial"/>
          <w:color w:val="B08D57"/>
          <w:spacing w:val="80"/>
          <w:sz w:val="20"/>
          <w:szCs w:val="20"/>
        </w:rPr>
        <w:t xml:space="preserve">MODULE 17</w:t>
      </w:r>
    </w:p>
    <w:p>
      <w:pPr>
        <w:spacing w:after="200"/>
      </w:pPr>
    </w:p>
    <w:p>
      <w:pPr>
        <w:pBdr>
          <w:bottom w:val="single" w:color="B08D57" w:sz="6" w:space="8"/>
        </w:pBdr>
        <w:spacing w:after="200"/>
        <w:jc w:val="left"/>
      </w:pPr>
      <w:r>
        <w:rPr>
          <w:rFonts w:ascii="Georgia" w:cs="Georgia" w:eastAsia="Georgia" w:hAnsi="Georgia"/>
          <w:b/>
          <w:bCs/>
          <w:color w:val="1A2332"/>
          <w:sz w:val="52"/>
          <w:szCs w:val="52"/>
        </w:rPr>
        <w:t xml:space="preserve">Supplier &amp; Contract Management</w:t>
      </w:r>
    </w:p>
    <w:p>
      <w:pPr>
        <w:spacing w:after="100"/>
      </w:pPr>
    </w:p>
    <w:p>
      <w:pPr>
        <w:spacing w:after="200"/>
        <w:jc w:val="left"/>
      </w:pPr>
      <w:r>
        <w:rPr>
          <w:rFonts w:ascii="Georgia" w:cs="Georgia" w:eastAsia="Georgia" w:hAnsi="Georgia"/>
          <w:color w:val="6B7280"/>
          <w:sz w:val="24"/>
          <w:szCs w:val="24"/>
        </w:rPr>
        <w:t xml:space="preserve">Your product house isn't your partner by default — they're your partner when the terms work for both.</w:t>
      </w:r>
    </w:p>
    <w:p>
      <w:pPr>
        <w:spacing w:after="1800"/>
      </w:pPr>
    </w:p>
    <w:p>
      <w:pPr>
        <w:pBdr>
          <w:top w:val="single" w:color="B08D57" w:sz="2" w:space="8"/>
        </w:pBdr>
        <w:spacing w:after="60"/>
        <w:jc w:val="left"/>
      </w:pPr>
      <w:r>
        <w:rPr>
          <w:rFonts w:ascii="Arial" w:cs="Arial" w:eastAsia="Arial" w:hAnsi="Arial"/>
          <w:color w:val="B08D57"/>
          <w:spacing w:val="100"/>
          <w:sz w:val="16"/>
          <w:szCs w:val="16"/>
        </w:rPr>
        <w:t xml:space="preserve">COMMERCIAL LEADERSHIP PROGRAMME</w:t>
      </w:r>
    </w:p>
    <w:p>
      <w:pPr>
        <w:jc w:val="left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Spa Director &amp; Spa Manager Development</w:t>
      </w:r>
    </w:p>
    <w:p>
      <w:r>
        <w:br w:type="page"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Module Overview</w:t>
      </w:r>
    </w:p>
    <w:p>
      <w:pPr>
        <w:spacing w:after="16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Your product house isn't your partner by default — they're your partner when the terms work for both.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none" w:sz="0"/>
              <w:left w:val="none" w:sz="0"/>
              <w:bottom w:val="none" w:sz="0"/>
              <w:right w:val="none" w:sz="0"/>
            </w:tcBorders>
            <w:shd w:fill="2E514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LESSON</w:t>
            </w:r>
          </w:p>
        </w:tc>
        <w:tc>
          <w:tcPr>
            <w:tcW w:type="dxa" w:w="7526"/>
            <w:tcBorders>
              <w:top w:val="none" w:sz="0"/>
              <w:left w:val="none" w:sz="0"/>
              <w:bottom w:val="none" w:sz="0"/>
              <w:right w:val="none" w:sz="0"/>
            </w:tcBorders>
            <w:shd w:fill="2E514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TOPIC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148"/>
                <w:sz w:val="20"/>
                <w:szCs w:val="20"/>
              </w:rPr>
              <w:t xml:space="preserve">Lesson 1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Managing Product Houses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148"/>
                <w:sz w:val="20"/>
                <w:szCs w:val="20"/>
              </w:rPr>
              <w:t xml:space="preserve">Lesson 2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Equipment Partnerships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2E5148"/>
          <w:sz w:val="36"/>
          <w:szCs w:val="36"/>
        </w:rPr>
        <w:t xml:space="preserve">Lesson 1: Managing Product Houses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Whether you're working with ESPA, Elemis, 111SKIN, or Aromatherapy Associates — the dynamics are the same. Standard trade terms are 40-50% of RRP, but volume and multi-year commitments can push this to 55-60%. Always negotiate margin, training, marketing support, and stock terms.</w:t>
      </w:r>
    </w:p>
    <w:p>
      <w:pPr>
        <w:spacing w:after="80"/>
      </w:pPr>
    </w:p>
    <w:p>
      <w:pPr>
        <w:shd w:fill="E6EBE9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Negotiate margin beyond standard 40-50% terms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Secure training at the supplier's cost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Request co-branded marketing and campaign support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Negotiate stock terms: sale-or-return, extended payment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2E5148"/>
          <w:sz w:val="36"/>
          <w:szCs w:val="36"/>
        </w:rPr>
        <w:t xml:space="preserve">Lesson 2: Equipment Partnerships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Treatment beds, thermal installations, gym equipment — all involve significant capital. Evaluate lease vs buy on total cost of ownership. Negotiate maintenance agreements, training, and replacement guarantees. Never sign the first version of any contract.</w:t>
      </w:r>
    </w:p>
    <w:p>
      <w:pPr>
        <w:spacing w:after="80"/>
      </w:pPr>
    </w:p>
    <w:p>
      <w:pPr>
        <w:shd w:fill="E6EBE9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Analyse lease vs buy on total cost of ownership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Secure maintenance and replacement guarantees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Include training as a contract requirement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Treat every first offer as a starting position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Key Concept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color w:val="1A2332"/>
                <w:sz w:val="26"/>
                <w:szCs w:val="26"/>
              </w:rPr>
              <w:t xml:space="preserve">“Never sign the first version of a contract. Every contract is a starting position for negotiation.”</w:t>
            </w:r>
          </w:p>
        </w:tc>
      </w:tr>
    </w:tbl>
    <w:p>
      <w:pPr>
        <w:spacing w:after="300"/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Practical Exercise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Review one of your current supplier contracts. Identify three areas for renegotiation with commercial justification. Draft a professional email requesting a contract review meeting, positioning it as a partnership discussion.</w:t>
      </w:r>
    </w:p>
    <w:p>
      <w:pPr>
        <w:spacing w:after="1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6B7280"/>
          <w:spacing w:val="80"/>
          <w:sz w:val="18"/>
          <w:szCs w:val="18"/>
        </w:rPr>
        <w:t xml:space="preserve">YOUR NOTES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Learning Outcomes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By completing this module, you will be able to:</w:t>
      </w:r>
    </w:p>
    <w:p>
      <w:pPr>
        <w:spacing w:after="60"/>
      </w:pP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Negotiate product house contracts covering margin, training, and marketing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Evaluate equipment partnerships on total cost of ownership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Identify negotiable elements in any supplier contract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Conduct contract review meetings professionally</w:t>
      </w:r>
    </w:p>
    <w:p>
      <w:pPr>
        <w:spacing w:after="2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SELF-ASSESSMENT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Rate your confidence in each outcome (1 = Not yet confident, 5 = Fully confident):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Negotiate product house contracts covering margin, training, and marketing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Evaluate equipment partnerships on total cost of ownership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Identify negotiable elements in any supplier contract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Conduct contract review meetings professionally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Complete the following submissions to demonstrate your learning: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E5148"/>
                <w:sz w:val="24"/>
                <w:szCs w:val="24"/>
              </w:rPr>
              <w:t xml:space="preserve">Submission 1: Contract Audit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Review with three renegotiation areas and commercial justification.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E5148"/>
                <w:sz w:val="24"/>
                <w:szCs w:val="24"/>
              </w:rPr>
              <w:t xml:space="preserve">Submission 2: Negotiation Email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Professional contract review request demonstrating partnership positioning.</w:t>
            </w:r>
          </w:p>
        </w:tc>
      </w:tr>
    </w:tbl>
    <w:p>
      <w:pPr>
        <w:spacing w:after="200"/>
      </w:pPr>
    </w:p>
    <w:p>
      <w:pPr>
        <w:spacing w:after="300"/>
      </w:pPr>
    </w:p>
    <w:p>
      <w:pPr>
        <w:pBdr>
          <w:top w:val="single" w:color="B08D57" w:sz="2" w:space="12"/>
        </w:pBdr>
        <w:spacing w:after="80"/>
      </w:pPr>
      <w:r>
        <w:rPr>
          <w:rFonts w:ascii="Arial" w:cs="Arial" w:eastAsia="Arial" w:hAnsi="Arial"/>
          <w:b/>
          <w:bCs/>
          <w:color w:val="B08D57"/>
          <w:spacing w:val="80"/>
          <w:sz w:val="18"/>
          <w:szCs w:val="18"/>
        </w:rPr>
        <w:t xml:space="preserve">MODULE COMPLETION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Assessor: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  <w:spacing w:after="0"/>
    </w:pPr>
    <w:r>
      <w:rPr>
        <w:rFonts w:ascii="Arial" w:cs="Arial" w:eastAsia="Arial" w:hAnsi="Arial"/>
        <w:color w:val="6B7280"/>
        <w:sz w:val="16"/>
        <w:szCs w:val="16"/>
      </w:rPr>
      <w:t xml:space="preserve">Module 17: Supplier &amp; Contract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Georgia" w:cs="Georgia" w:eastAsia="Georgia" w:hAnsi="Georgia"/>
      <w:b/>
      <w:bCs/>
      <w:color w:val="1A233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Georgia" w:cs="Georgia" w:eastAsia="Georgia" w:hAnsi="Georgia"/>
      <w:b/>
      <w:bCs/>
      <w:color w:val="2E5148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Georgia" w:cs="Georgia" w:eastAsia="Georgia" w:hAnsi="Georgia"/>
      <w:b/>
      <w:bCs/>
      <w:color w:val="1A23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2026-03-20T15:23:53.967Z</dcterms:created>
  <dcterms:modified xsi:type="dcterms:W3CDTF">2026-03-20T15:23:53.967Z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